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7C5ACE" w:rsidP="00CE40E4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 w:rsidR="00C22510">
        <w:rPr>
          <w:rFonts w:ascii="標楷體" w:eastAsia="標楷體" w:hAnsi="標楷體" w:hint="eastAsia"/>
          <w:sz w:val="32"/>
        </w:rPr>
        <w:t>建德國中</w:t>
      </w:r>
      <w:r w:rsidRPr="00022D28">
        <w:rPr>
          <w:rFonts w:ascii="標楷體" w:eastAsia="標楷體" w:hAnsi="標楷體" w:hint="eastAsia"/>
          <w:sz w:val="32"/>
        </w:rPr>
        <w:t>1</w:t>
      </w:r>
      <w:r w:rsidR="00904571">
        <w:rPr>
          <w:rFonts w:ascii="標楷體" w:eastAsia="標楷體" w:hAnsi="標楷體" w:hint="eastAsia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學年度辦理校長及教師公開授課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E40E4">
        <w:rPr>
          <w:rFonts w:ascii="標楷體" w:eastAsia="標楷體" w:hAnsi="標楷體" w:cs="標楷體" w:hint="eastAsia"/>
          <w:u w:val="single"/>
        </w:rPr>
        <w:t>1</w:t>
      </w:r>
      <w:r w:rsidR="001606B3">
        <w:rPr>
          <w:rFonts w:ascii="標楷體" w:eastAsia="標楷體" w:hAnsi="標楷體" w:cs="標楷體" w:hint="eastAsia"/>
          <w:u w:val="single"/>
        </w:rPr>
        <w:t>10</w:t>
      </w:r>
      <w:r w:rsidR="00CE40E4">
        <w:rPr>
          <w:rFonts w:ascii="標楷體" w:eastAsia="標楷體" w:hAnsi="標楷體" w:cs="標楷體" w:hint="eastAsia"/>
          <w:u w:val="single"/>
        </w:rPr>
        <w:t>/</w:t>
      </w:r>
      <w:r w:rsidR="001606B3">
        <w:rPr>
          <w:rFonts w:ascii="標楷體" w:eastAsia="標楷體" w:hAnsi="標楷體" w:cs="標楷體" w:hint="eastAsia"/>
          <w:u w:val="single"/>
        </w:rPr>
        <w:t>11</w:t>
      </w:r>
      <w:r w:rsidR="00CE40E4">
        <w:rPr>
          <w:rFonts w:ascii="標楷體" w:eastAsia="標楷體" w:hAnsi="標楷體" w:cs="標楷體" w:hint="eastAsia"/>
          <w:u w:val="single"/>
        </w:rPr>
        <w:t>/1</w:t>
      </w:r>
      <w:r w:rsidR="001606B3">
        <w:rPr>
          <w:rFonts w:ascii="標楷體" w:eastAsia="標楷體" w:hAnsi="標楷體" w:cs="標楷體" w:hint="eastAsia"/>
          <w:u w:val="single"/>
        </w:rPr>
        <w:t>0</w:t>
      </w:r>
      <w:r w:rsidR="00904571">
        <w:rPr>
          <w:rFonts w:ascii="標楷體" w:eastAsia="標楷體" w:hAnsi="標楷體" w:cs="標楷體" w:hint="eastAsia"/>
          <w:u w:val="single"/>
        </w:rPr>
        <w:t>(第</w:t>
      </w:r>
      <w:r w:rsidR="00904571">
        <w:rPr>
          <w:rFonts w:ascii="標楷體" w:eastAsia="標楷體" w:hAnsi="標楷體" w:cs="標楷體" w:hint="eastAsia"/>
          <w:u w:val="single"/>
        </w:rPr>
        <w:t>2</w:t>
      </w:r>
      <w:r w:rsidR="00904571">
        <w:rPr>
          <w:rFonts w:ascii="標楷體" w:eastAsia="標楷體" w:hAnsi="標楷體" w:cs="標楷體" w:hint="eastAsia"/>
          <w:u w:val="single"/>
        </w:rPr>
        <w:t>節)</w:t>
      </w:r>
      <w:r w:rsidR="00CE40E4">
        <w:rPr>
          <w:rFonts w:ascii="標楷體" w:eastAsia="標楷體" w:hAnsi="標楷體" w:cs="標楷體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1606B3">
        <w:rPr>
          <w:rFonts w:ascii="標楷體" w:eastAsia="標楷體" w:hAnsi="標楷體" w:hint="eastAsia"/>
          <w:u w:val="single"/>
        </w:rPr>
        <w:t>805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CE40E4">
        <w:rPr>
          <w:rFonts w:ascii="標楷體" w:eastAsia="標楷體" w:hAnsi="標楷體" w:cs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606B3">
        <w:rPr>
          <w:rFonts w:ascii="標楷體" w:eastAsia="標楷體" w:hAnsi="標楷體" w:hint="eastAsia"/>
          <w:u w:val="single"/>
        </w:rPr>
        <w:t>畢氏定理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CE40E4">
        <w:rPr>
          <w:rFonts w:ascii="標楷體" w:eastAsia="標楷體" w:hAnsi="標楷體" w:cs="標楷體" w:hint="eastAsia"/>
          <w:u w:val="single"/>
        </w:rPr>
        <w:t>王成隆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CE40E4" w:rsidRPr="00512195">
        <w:rPr>
          <w:rFonts w:ascii="標楷體" w:eastAsia="標楷體" w:hAnsi="標楷體" w:hint="eastAsia"/>
          <w:u w:val="single"/>
        </w:rPr>
        <w:t>蔡宗賢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E40E4" w:rsidRPr="002F4BEA">
        <w:rPr>
          <w:rFonts w:ascii="標楷體" w:eastAsia="標楷體" w:hAnsi="標楷體" w:cs="標楷體" w:hint="eastAsia"/>
          <w:u w:val="single"/>
        </w:rPr>
        <w:t>1</w:t>
      </w:r>
      <w:r w:rsidR="001606B3">
        <w:rPr>
          <w:rFonts w:ascii="標楷體" w:eastAsia="標楷體" w:hAnsi="標楷體" w:cs="標楷體" w:hint="eastAsia"/>
          <w:u w:val="single"/>
        </w:rPr>
        <w:t>10</w:t>
      </w:r>
      <w:r w:rsidR="00CE40E4" w:rsidRPr="002F4BEA">
        <w:rPr>
          <w:rFonts w:ascii="標楷體" w:eastAsia="標楷體" w:hAnsi="標楷體" w:cs="標楷體" w:hint="eastAsia"/>
          <w:u w:val="single"/>
        </w:rPr>
        <w:t>/</w:t>
      </w:r>
      <w:r w:rsidR="001606B3">
        <w:rPr>
          <w:rFonts w:ascii="標楷體" w:eastAsia="標楷體" w:hAnsi="標楷體" w:cs="標楷體" w:hint="eastAsia"/>
          <w:u w:val="single"/>
        </w:rPr>
        <w:t>11</w:t>
      </w:r>
      <w:r w:rsidR="00CE40E4" w:rsidRPr="002F4BEA">
        <w:rPr>
          <w:rFonts w:ascii="標楷體" w:eastAsia="標楷體" w:hAnsi="標楷體" w:cs="標楷體" w:hint="eastAsia"/>
          <w:u w:val="single"/>
        </w:rPr>
        <w:t>/</w:t>
      </w:r>
      <w:r w:rsidR="001606B3">
        <w:rPr>
          <w:rFonts w:ascii="標楷體" w:eastAsia="標楷體" w:hAnsi="標楷體" w:cs="標楷體" w:hint="eastAsia"/>
          <w:u w:val="single"/>
        </w:rPr>
        <w:t>9</w:t>
      </w:r>
      <w:bookmarkStart w:id="0" w:name="_Hlk86912043"/>
      <w:r w:rsidR="001606B3">
        <w:rPr>
          <w:rFonts w:ascii="標楷體" w:eastAsia="標楷體" w:hAnsi="標楷體" w:cs="標楷體" w:hint="eastAsia"/>
          <w:u w:val="single"/>
        </w:rPr>
        <w:t>(第3節)</w:t>
      </w:r>
      <w:bookmarkEnd w:id="0"/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1606B3" w:rsidP="00B24DE5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bookmarkStart w:id="1" w:name="_Hlk86910736"/>
                            <w:r>
                              <w:rPr>
                                <w:rFonts w:ascii="標楷體" w:eastAsia="標楷體" w:hAnsi="標楷體" w:hint="eastAsia"/>
                              </w:rPr>
                              <w:t>畢氏定理</w:t>
                            </w:r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</w:rPr>
                              <w:t>(勾股弦定理,商高定理)的意義及數學史介紹與應用</w:t>
                            </w:r>
                          </w:p>
                          <w:p w:rsidR="00BB01CB" w:rsidRPr="001606B3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Pr="00C42874" w:rsidRDefault="00CE40E4" w:rsidP="00CE40E4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1)透過</w:t>
                            </w:r>
                            <w:r w:rsidR="001606B3">
                              <w:rPr>
                                <w:rFonts w:ascii="標楷體" w:eastAsia="標楷體" w:hAnsi="標楷體" w:hint="eastAsia"/>
                              </w:rPr>
                              <w:t>畢氏定理</w:t>
                            </w:r>
                            <w:r w:rsidR="001606B3">
                              <w:rPr>
                                <w:rFonts w:ascii="標楷體" w:eastAsia="標楷體" w:hAnsi="標楷體" w:hint="eastAsia"/>
                              </w:rPr>
                              <w:t>使學生更易察覺生活中的圖像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2)了解</w:t>
                            </w:r>
                            <w:r w:rsidR="001606B3">
                              <w:rPr>
                                <w:rFonts w:ascii="標楷體" w:eastAsia="標楷體" w:hAnsi="標楷體" w:hint="eastAsia"/>
                              </w:rPr>
                              <w:t>只要找到直角三角形,則可應用畢氏定理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Pr="00C42874" w:rsidRDefault="001606B3" w:rsidP="00B24DE5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根式的四則運算,有理化,</w:t>
                            </w:r>
                          </w:p>
                          <w:p w:rsidR="00BB01CB" w:rsidRPr="001606B3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CE40E4" w:rsidRDefault="00CE40E4" w:rsidP="00CE40E4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(1)</w:t>
                            </w:r>
                            <w:r w:rsidR="001606B3">
                              <w:rPr>
                                <w:rFonts w:ascii="標楷體" w:eastAsia="標楷體" w:hAnsi="標楷體" w:cs="標楷體" w:hint="eastAsia"/>
                              </w:rPr>
                              <w:t>觀察直角三角形三邊長的關係</w:t>
                            </w:r>
                          </w:p>
                          <w:p w:rsidR="00CE40E4" w:rsidRDefault="00CE40E4" w:rsidP="00CE40E4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(2)</w:t>
                            </w:r>
                            <w:r w:rsidR="004F7B06">
                              <w:rPr>
                                <w:rFonts w:ascii="標楷體" w:eastAsia="標楷體" w:hAnsi="標楷體" w:cs="標楷體" w:hint="eastAsia"/>
                              </w:rPr>
                              <w:t>實際操作來證明</w:t>
                            </w:r>
                            <w:r w:rsidR="004F7B06">
                              <w:rPr>
                                <w:rFonts w:ascii="標楷體" w:eastAsia="標楷體" w:hAnsi="標楷體" w:hint="eastAsia"/>
                              </w:rPr>
                              <w:t>畢氏定理</w:t>
                            </w:r>
                          </w:p>
                          <w:p w:rsidR="00BB01CB" w:rsidRPr="00C42874" w:rsidRDefault="00CE40E4" w:rsidP="00CE40E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(3)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相關題型的演練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CE40E4" w:rsidRPr="00CE40E4" w:rsidRDefault="00CE40E4" w:rsidP="00520681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left="426" w:right="242" w:firstLine="141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E40E4"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 xml:space="preserve">教師提問,自願或點名學生回答 </w:t>
                            </w:r>
                            <w:r w:rsidRPr="00CE40E4"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  <w:br/>
                            </w:r>
                            <w:r w:rsidRPr="00CE40E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CE40E4">
                              <w:rPr>
                                <w:rFonts w:ascii="標楷體" w:eastAsia="標楷體" w:hAnsi="標楷體" w:hint="eastAsia"/>
                              </w:rPr>
                              <w:t>(2)上台演練</w:t>
                            </w:r>
                            <w:r w:rsidRPr="00CE40E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E82D0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CE40E4">
                              <w:rPr>
                                <w:rFonts w:ascii="標楷體" w:eastAsia="標楷體" w:hAnsi="標楷體"/>
                              </w:rPr>
                              <w:t>(3)</w:t>
                            </w:r>
                            <w:r w:rsidRPr="00CE40E4">
                              <w:rPr>
                                <w:rFonts w:ascii="標楷體" w:eastAsia="標楷體" w:hAnsi="標楷體" w:hint="eastAsia"/>
                              </w:rPr>
                              <w:t>隨堂考試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E40E4" w:rsidRDefault="00BB01CB" w:rsidP="004D2CE7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E40E4"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  <w:r w:rsidR="00CE40E4" w:rsidRPr="00CE40E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CE40E4" w:rsidRPr="00CE40E4">
                              <w:rPr>
                                <w:rFonts w:ascii="標楷體" w:eastAsia="標楷體" w:hAnsi="標楷體" w:cs="標楷體"/>
                              </w:rPr>
                              <w:t>(1)</w:t>
                            </w:r>
                            <w:r w:rsidR="00CE40E4" w:rsidRPr="00CE40E4"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 xml:space="preserve"> 學生的學習氣氛,專注力及學習成果</w:t>
                            </w:r>
                            <w:r w:rsidR="00CE40E4" w:rsidRPr="00CE40E4"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  <w:br/>
                            </w:r>
                            <w:r w:rsidR="00CE40E4" w:rsidRPr="00CE40E4">
                              <w:rPr>
                                <w:rFonts w:ascii="標楷體" w:eastAsia="標楷體" w:hAnsi="標楷體" w:cs="標楷體"/>
                              </w:rPr>
                              <w:t>(2)</w:t>
                            </w:r>
                            <w:r w:rsidR="00CE40E4" w:rsidRPr="00CE40E4">
                              <w:rPr>
                                <w:rFonts w:ascii="標楷體" w:eastAsia="標楷體" w:hAnsi="標楷體" w:hint="eastAsia"/>
                              </w:rPr>
                              <w:t xml:space="preserve"> 學生反應及答題狀況</w:t>
                            </w:r>
                            <w:r w:rsidR="00CE40E4" w:rsidRPr="00CE40E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</w:p>
                          <w:p w:rsidR="00CE40E4" w:rsidRPr="00CE40E4" w:rsidRDefault="00BB01CB" w:rsidP="000149B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E40E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CE40E4" w:rsidRPr="00CE40E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CE40E4" w:rsidRPr="00CE40E4">
                              <w:rPr>
                                <w:rFonts w:ascii="標楷體" w:eastAsia="標楷體" w:hAnsi="標楷體" w:cs="標楷體" w:hint="eastAsia"/>
                              </w:rPr>
                              <w:t>(</w:t>
                            </w:r>
                            <w:r w:rsidR="00CE40E4" w:rsidRPr="00CE40E4">
                              <w:rPr>
                                <w:rFonts w:ascii="標楷體" w:eastAsia="標楷體" w:hAnsi="標楷體" w:cs="標楷體"/>
                              </w:rPr>
                              <w:t>1)</w:t>
                            </w:r>
                            <w:r w:rsidR="00CE40E4" w:rsidRPr="00CE40E4">
                              <w:rPr>
                                <w:rFonts w:ascii="標楷體" w:eastAsia="標楷體" w:hAnsi="標楷體" w:hint="eastAsia"/>
                              </w:rPr>
                              <w:t xml:space="preserve"> 時間:1</w:t>
                            </w:r>
                            <w:r w:rsidR="004F7B06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="00CE40E4" w:rsidRPr="00CE40E4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4F7B0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CE40E4" w:rsidRPr="00CE40E4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E82D0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F7B06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CE40E4" w:rsidRPr="00CE40E4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4F7B06"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 w:rsidR="00CE40E4" w:rsidRPr="00CE40E4">
                              <w:rPr>
                                <w:rFonts w:ascii="標楷體" w:eastAsia="標楷體" w:hAnsi="標楷體" w:hint="eastAsia"/>
                              </w:rPr>
                              <w:t>午</w:t>
                            </w:r>
                            <w:r w:rsidR="004F7B06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90457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4F7B06">
                              <w:rPr>
                                <w:rFonts w:ascii="標楷體" w:eastAsia="標楷體" w:hAnsi="標楷體" w:hint="eastAsia"/>
                              </w:rPr>
                              <w:t>節課</w:t>
                            </w:r>
                          </w:p>
                          <w:p w:rsidR="00B10485" w:rsidRDefault="00CE40E4" w:rsidP="00CE40E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(2)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東三導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辦公室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1606B3" w:rsidP="00B24DE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bookmarkStart w:id="2" w:name="_Hlk86910736"/>
                      <w:r>
                        <w:rPr>
                          <w:rFonts w:ascii="標楷體" w:eastAsia="標楷體" w:hAnsi="標楷體" w:hint="eastAsia"/>
                        </w:rPr>
                        <w:t>畢氏定理</w:t>
                      </w:r>
                      <w:bookmarkEnd w:id="2"/>
                      <w:r>
                        <w:rPr>
                          <w:rFonts w:ascii="標楷體" w:eastAsia="標楷體" w:hAnsi="標楷體" w:hint="eastAsia"/>
                        </w:rPr>
                        <w:t>(勾股弦定理,商高定理)的意義及數學史介紹與應用</w:t>
                      </w:r>
                    </w:p>
                    <w:p w:rsidR="00BB01CB" w:rsidRPr="001606B3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Pr="00C42874" w:rsidRDefault="00CE40E4" w:rsidP="00CE40E4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1)透過</w:t>
                      </w:r>
                      <w:r w:rsidR="001606B3">
                        <w:rPr>
                          <w:rFonts w:ascii="標楷體" w:eastAsia="標楷體" w:hAnsi="標楷體" w:hint="eastAsia"/>
                        </w:rPr>
                        <w:t>畢氏定理</w:t>
                      </w:r>
                      <w:r w:rsidR="001606B3">
                        <w:rPr>
                          <w:rFonts w:ascii="標楷體" w:eastAsia="標楷體" w:hAnsi="標楷體" w:hint="eastAsia"/>
                        </w:rPr>
                        <w:t>使學生更易察覺生活中的圖像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2)了解</w:t>
                      </w:r>
                      <w:r w:rsidR="001606B3">
                        <w:rPr>
                          <w:rFonts w:ascii="標楷體" w:eastAsia="標楷體" w:hAnsi="標楷體" w:hint="eastAsia"/>
                        </w:rPr>
                        <w:t>只要找到直角三角形,則可應用畢氏定理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Pr="00C42874" w:rsidRDefault="001606B3" w:rsidP="00B24DE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根式的四則運算,有理化,</w:t>
                      </w:r>
                    </w:p>
                    <w:p w:rsidR="00BB01CB" w:rsidRPr="001606B3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CE40E4" w:rsidRDefault="00CE40E4" w:rsidP="00CE40E4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(1)</w:t>
                      </w:r>
                      <w:r w:rsidR="001606B3">
                        <w:rPr>
                          <w:rFonts w:ascii="標楷體" w:eastAsia="標楷體" w:hAnsi="標楷體" w:cs="標楷體" w:hint="eastAsia"/>
                        </w:rPr>
                        <w:t>觀察直角三角形三邊長的關係</w:t>
                      </w:r>
                    </w:p>
                    <w:p w:rsidR="00CE40E4" w:rsidRDefault="00CE40E4" w:rsidP="00CE40E4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(2)</w:t>
                      </w:r>
                      <w:r w:rsidR="004F7B06">
                        <w:rPr>
                          <w:rFonts w:ascii="標楷體" w:eastAsia="標楷體" w:hAnsi="標楷體" w:cs="標楷體" w:hint="eastAsia"/>
                        </w:rPr>
                        <w:t>實際操作來證明</w:t>
                      </w:r>
                      <w:r w:rsidR="004F7B06">
                        <w:rPr>
                          <w:rFonts w:ascii="標楷體" w:eastAsia="標楷體" w:hAnsi="標楷體" w:hint="eastAsia"/>
                        </w:rPr>
                        <w:t>畢氏定理</w:t>
                      </w:r>
                    </w:p>
                    <w:p w:rsidR="00BB01CB" w:rsidRPr="00C42874" w:rsidRDefault="00CE40E4" w:rsidP="00CE40E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 xml:space="preserve">     (3)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相關題型的演練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CE40E4" w:rsidRPr="00CE40E4" w:rsidRDefault="00CE40E4" w:rsidP="00520681">
                      <w:pPr>
                        <w:pStyle w:val="a3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left="426" w:right="242" w:firstLine="141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E40E4"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 xml:space="preserve">教師提問,自願或點名學生回答 </w:t>
                      </w:r>
                      <w:r w:rsidRPr="00CE40E4"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  <w:br/>
                      </w:r>
                      <w:r w:rsidRPr="00CE40E4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CE40E4">
                        <w:rPr>
                          <w:rFonts w:ascii="標楷體" w:eastAsia="標楷體" w:hAnsi="標楷體" w:hint="eastAsia"/>
                        </w:rPr>
                        <w:t>(2)上台演練</w:t>
                      </w:r>
                      <w:r w:rsidRPr="00CE40E4">
                        <w:rPr>
                          <w:rFonts w:ascii="標楷體" w:eastAsia="標楷體" w:hAnsi="標楷體"/>
                        </w:rPr>
                        <w:br/>
                      </w:r>
                      <w:r w:rsidR="00E82D02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CE40E4">
                        <w:rPr>
                          <w:rFonts w:ascii="標楷體" w:eastAsia="標楷體" w:hAnsi="標楷體"/>
                        </w:rPr>
                        <w:t>(3)</w:t>
                      </w:r>
                      <w:r w:rsidRPr="00CE40E4">
                        <w:rPr>
                          <w:rFonts w:ascii="標楷體" w:eastAsia="標楷體" w:hAnsi="標楷體" w:hint="eastAsia"/>
                        </w:rPr>
                        <w:t>隨堂考試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E40E4" w:rsidRDefault="00BB01CB" w:rsidP="004D2CE7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E40E4"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  <w:r w:rsidR="00CE40E4" w:rsidRPr="00CE40E4">
                        <w:rPr>
                          <w:rFonts w:ascii="標楷體" w:eastAsia="標楷體" w:hAnsi="標楷體"/>
                        </w:rPr>
                        <w:br/>
                      </w:r>
                      <w:r w:rsidR="00CE40E4" w:rsidRPr="00CE40E4">
                        <w:rPr>
                          <w:rFonts w:ascii="標楷體" w:eastAsia="標楷體" w:hAnsi="標楷體" w:cs="標楷體"/>
                        </w:rPr>
                        <w:t>(1)</w:t>
                      </w:r>
                      <w:r w:rsidR="00CE40E4" w:rsidRPr="00CE40E4"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 xml:space="preserve"> 學生的學習氣氛,專注力及學習成果</w:t>
                      </w:r>
                      <w:r w:rsidR="00CE40E4" w:rsidRPr="00CE40E4"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  <w:br/>
                      </w:r>
                      <w:r w:rsidR="00CE40E4" w:rsidRPr="00CE40E4">
                        <w:rPr>
                          <w:rFonts w:ascii="標楷體" w:eastAsia="標楷體" w:hAnsi="標楷體" w:cs="標楷體"/>
                        </w:rPr>
                        <w:t>(2)</w:t>
                      </w:r>
                      <w:r w:rsidR="00CE40E4" w:rsidRPr="00CE40E4">
                        <w:rPr>
                          <w:rFonts w:ascii="標楷體" w:eastAsia="標楷體" w:hAnsi="標楷體" w:hint="eastAsia"/>
                        </w:rPr>
                        <w:t xml:space="preserve"> 學生反應及答題狀況</w:t>
                      </w:r>
                      <w:r w:rsidR="00CE40E4" w:rsidRPr="00CE40E4">
                        <w:rPr>
                          <w:rFonts w:ascii="標楷體" w:eastAsia="標楷體" w:hAnsi="標楷體"/>
                        </w:rPr>
                        <w:br/>
                      </w:r>
                    </w:p>
                    <w:p w:rsidR="00CE40E4" w:rsidRPr="00CE40E4" w:rsidRDefault="00BB01CB" w:rsidP="000149B5">
                      <w:pPr>
                        <w:numPr>
                          <w:ilvl w:val="0"/>
                          <w:numId w:val="28"/>
                        </w:numPr>
                        <w:rPr>
                          <w:rFonts w:ascii="標楷體" w:eastAsia="標楷體" w:hAnsi="標楷體" w:cs="標楷體"/>
                        </w:rPr>
                      </w:pPr>
                      <w:r w:rsidRPr="00CE40E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CE40E4" w:rsidRPr="00CE40E4">
                        <w:rPr>
                          <w:rFonts w:ascii="標楷體" w:eastAsia="標楷體" w:hAnsi="標楷體"/>
                        </w:rPr>
                        <w:br/>
                      </w:r>
                      <w:r w:rsidR="00CE40E4" w:rsidRPr="00CE40E4">
                        <w:rPr>
                          <w:rFonts w:ascii="標楷體" w:eastAsia="標楷體" w:hAnsi="標楷體" w:cs="標楷體" w:hint="eastAsia"/>
                        </w:rPr>
                        <w:t>(</w:t>
                      </w:r>
                      <w:r w:rsidR="00CE40E4" w:rsidRPr="00CE40E4">
                        <w:rPr>
                          <w:rFonts w:ascii="標楷體" w:eastAsia="標楷體" w:hAnsi="標楷體" w:cs="標楷體"/>
                        </w:rPr>
                        <w:t>1)</w:t>
                      </w:r>
                      <w:r w:rsidR="00CE40E4" w:rsidRPr="00CE40E4">
                        <w:rPr>
                          <w:rFonts w:ascii="標楷體" w:eastAsia="標楷體" w:hAnsi="標楷體" w:hint="eastAsia"/>
                        </w:rPr>
                        <w:t xml:space="preserve"> 時間:1</w:t>
                      </w:r>
                      <w:r w:rsidR="004F7B06">
                        <w:rPr>
                          <w:rFonts w:ascii="標楷體" w:eastAsia="標楷體" w:hAnsi="標楷體"/>
                        </w:rPr>
                        <w:t>10</w:t>
                      </w:r>
                      <w:r w:rsidR="00CE40E4" w:rsidRPr="00CE40E4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4F7B06">
                        <w:rPr>
                          <w:rFonts w:ascii="標楷體" w:eastAsia="標楷體" w:hAnsi="標楷體"/>
                        </w:rPr>
                        <w:t>11</w:t>
                      </w:r>
                      <w:r w:rsidR="00CE40E4" w:rsidRPr="00CE40E4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E82D02">
                        <w:rPr>
                          <w:rFonts w:ascii="標楷體" w:eastAsia="標楷體" w:hAnsi="標楷體"/>
                        </w:rPr>
                        <w:t>1</w:t>
                      </w:r>
                      <w:r w:rsidR="004F7B06">
                        <w:rPr>
                          <w:rFonts w:ascii="標楷體" w:eastAsia="標楷體" w:hAnsi="標楷體"/>
                        </w:rPr>
                        <w:t>0</w:t>
                      </w:r>
                      <w:r w:rsidR="00CE40E4" w:rsidRPr="00CE40E4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 w:rsidR="004F7B06"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 w:rsidR="00CE40E4" w:rsidRPr="00CE40E4">
                        <w:rPr>
                          <w:rFonts w:ascii="標楷體" w:eastAsia="標楷體" w:hAnsi="標楷體" w:hint="eastAsia"/>
                        </w:rPr>
                        <w:t>午</w:t>
                      </w:r>
                      <w:r w:rsidR="004F7B06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 w:rsidR="0090457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4F7B06">
                        <w:rPr>
                          <w:rFonts w:ascii="標楷體" w:eastAsia="標楷體" w:hAnsi="標楷體" w:hint="eastAsia"/>
                        </w:rPr>
                        <w:t>節課</w:t>
                      </w:r>
                    </w:p>
                    <w:p w:rsidR="00B10485" w:rsidRDefault="00CE40E4" w:rsidP="00CE40E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 xml:space="preserve">(2) 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東三導</w:t>
                      </w:r>
                      <w:r>
                        <w:rPr>
                          <w:rFonts w:ascii="標楷體" w:eastAsia="標楷體" w:hAnsi="標楷體" w:cs="標楷體"/>
                        </w:rPr>
                        <w:t>辦公室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1606B3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  <w:bookmarkStart w:id="3" w:name="_GoBack"/>
      <w:bookmarkEnd w:id="3"/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01" w:rsidRDefault="00010601" w:rsidP="004A637D">
      <w:r>
        <w:separator/>
      </w:r>
    </w:p>
  </w:endnote>
  <w:endnote w:type="continuationSeparator" w:id="0">
    <w:p w:rsidR="00010601" w:rsidRDefault="00010601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01" w:rsidRDefault="00010601" w:rsidP="004A637D">
      <w:r>
        <w:separator/>
      </w:r>
    </w:p>
  </w:footnote>
  <w:footnote w:type="continuationSeparator" w:id="0">
    <w:p w:rsidR="00010601" w:rsidRDefault="00010601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845369"/>
    <w:multiLevelType w:val="hybridMultilevel"/>
    <w:tmpl w:val="AF8E8A0A"/>
    <w:lvl w:ilvl="0" w:tplc="BB0C4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450038"/>
    <w:multiLevelType w:val="multilevel"/>
    <w:tmpl w:val="1A1E37AC"/>
    <w:styleLink w:val="WW8Num11"/>
    <w:lvl w:ilvl="0">
      <w:start w:val="1"/>
      <w:numFmt w:val="japaneseCounting"/>
      <w:lvlText w:val="%1、"/>
      <w:lvlJc w:val="left"/>
      <w:pPr>
        <w:ind w:left="624" w:hanging="624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25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2"/>
  </w:num>
  <w:num w:numId="5">
    <w:abstractNumId w:val="14"/>
  </w:num>
  <w:num w:numId="6">
    <w:abstractNumId w:val="21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7"/>
  </w:num>
  <w:num w:numId="16">
    <w:abstractNumId w:val="0"/>
  </w:num>
  <w:num w:numId="17">
    <w:abstractNumId w:val="10"/>
  </w:num>
  <w:num w:numId="18">
    <w:abstractNumId w:val="9"/>
  </w:num>
  <w:num w:numId="19">
    <w:abstractNumId w:val="23"/>
  </w:num>
  <w:num w:numId="20">
    <w:abstractNumId w:val="20"/>
  </w:num>
  <w:num w:numId="21">
    <w:abstractNumId w:val="27"/>
  </w:num>
  <w:num w:numId="22">
    <w:abstractNumId w:val="15"/>
  </w:num>
  <w:num w:numId="23">
    <w:abstractNumId w:val="4"/>
  </w:num>
  <w:num w:numId="24">
    <w:abstractNumId w:val="19"/>
  </w:num>
  <w:num w:numId="25">
    <w:abstractNumId w:val="16"/>
  </w:num>
  <w:num w:numId="26">
    <w:abstractNumId w:val="2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10601"/>
    <w:rsid w:val="00022D28"/>
    <w:rsid w:val="00027D99"/>
    <w:rsid w:val="00035B5B"/>
    <w:rsid w:val="000444EF"/>
    <w:rsid w:val="000471C8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16B"/>
    <w:rsid w:val="00130B78"/>
    <w:rsid w:val="00133E2C"/>
    <w:rsid w:val="00140B00"/>
    <w:rsid w:val="001531E0"/>
    <w:rsid w:val="00153F03"/>
    <w:rsid w:val="00157E92"/>
    <w:rsid w:val="001606B3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C603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3401"/>
    <w:rsid w:val="00465767"/>
    <w:rsid w:val="004674A5"/>
    <w:rsid w:val="00470810"/>
    <w:rsid w:val="00472089"/>
    <w:rsid w:val="004740D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4F7B06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58AA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498C"/>
    <w:rsid w:val="005C7896"/>
    <w:rsid w:val="005D0434"/>
    <w:rsid w:val="005D1484"/>
    <w:rsid w:val="005F1B85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4A51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4571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9682D"/>
    <w:rsid w:val="00AA66D1"/>
    <w:rsid w:val="00AB2EB7"/>
    <w:rsid w:val="00AB3727"/>
    <w:rsid w:val="00AD1042"/>
    <w:rsid w:val="00AD2BD9"/>
    <w:rsid w:val="00AD3478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2510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40E4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0B69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2D02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222B3"/>
    <w:rsid w:val="00F33555"/>
    <w:rsid w:val="00F349F7"/>
    <w:rsid w:val="00F40AF4"/>
    <w:rsid w:val="00F43062"/>
    <w:rsid w:val="00F53318"/>
    <w:rsid w:val="00F54FA5"/>
    <w:rsid w:val="00F6251A"/>
    <w:rsid w:val="00F62D68"/>
    <w:rsid w:val="00F63950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A68F7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0E4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11">
    <w:name w:val="WW8Num11"/>
    <w:basedOn w:val="a2"/>
    <w:rsid w:val="00CE40E4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D296F-7CD8-4041-82F0-ED0C6FC9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F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Administrator</cp:lastModifiedBy>
  <cp:revision>2</cp:revision>
  <cp:lastPrinted>2021-11-04T01:57:00Z</cp:lastPrinted>
  <dcterms:created xsi:type="dcterms:W3CDTF">2021-11-04T01:58:00Z</dcterms:created>
  <dcterms:modified xsi:type="dcterms:W3CDTF">2021-11-04T01:58:00Z</dcterms:modified>
</cp:coreProperties>
</file>