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3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基隆市南榮國民小學教師公開授課教學觀察紀錄表</w:t>
      </w:r>
    </w:p>
    <w:p w:rsidR="00050F24" w:rsidRDefault="00651A60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076FDC">
        <w:rPr>
          <w:rFonts w:eastAsia="標楷體" w:hint="eastAsia"/>
          <w:sz w:val="26"/>
          <w:szCs w:val="26"/>
        </w:rPr>
        <w:t>授課教師：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翁瑞</w:t>
      </w:r>
      <w:r>
        <w:rPr>
          <w:rFonts w:eastAsia="標楷體"/>
          <w:sz w:val="26"/>
          <w:szCs w:val="26"/>
          <w:u w:val="single"/>
        </w:rPr>
        <w:t>宏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  <w:r w:rsidRPr="00076FDC">
        <w:rPr>
          <w:rFonts w:eastAsia="標楷體" w:hint="eastAsia"/>
          <w:sz w:val="26"/>
          <w:szCs w:val="26"/>
          <w:u w:val="single"/>
        </w:rPr>
        <w:t xml:space="preserve">  </w:t>
      </w:r>
      <w:r w:rsidRPr="00076FDC">
        <w:rPr>
          <w:rFonts w:eastAsia="標楷體" w:hint="eastAsia"/>
          <w:sz w:val="26"/>
          <w:szCs w:val="26"/>
        </w:rPr>
        <w:t>任教年級：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六</w:t>
      </w:r>
      <w:r w:rsidRPr="00076FDC">
        <w:rPr>
          <w:rFonts w:eastAsia="標楷體" w:hint="eastAsia"/>
          <w:sz w:val="26"/>
          <w:szCs w:val="26"/>
          <w:u w:val="single"/>
        </w:rPr>
        <w:t>年級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  <w:r w:rsidRPr="00076FDC">
        <w:rPr>
          <w:rFonts w:eastAsia="標楷體" w:hint="eastAsia"/>
          <w:sz w:val="26"/>
          <w:szCs w:val="26"/>
          <w:u w:val="single"/>
        </w:rPr>
        <w:t xml:space="preserve">  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  <w:r w:rsidRPr="00076FDC">
        <w:rPr>
          <w:rFonts w:eastAsia="標楷體" w:hint="eastAsia"/>
          <w:sz w:val="26"/>
          <w:szCs w:val="26"/>
        </w:rPr>
        <w:t>任教領域</w:t>
      </w:r>
      <w:r w:rsidRPr="00076FDC">
        <w:rPr>
          <w:rFonts w:eastAsia="標楷體"/>
          <w:sz w:val="26"/>
          <w:szCs w:val="26"/>
        </w:rPr>
        <w:t>/</w:t>
      </w:r>
      <w:r w:rsidRPr="00076FDC">
        <w:rPr>
          <w:rFonts w:eastAsia="標楷體" w:hint="eastAsia"/>
          <w:sz w:val="26"/>
          <w:szCs w:val="26"/>
        </w:rPr>
        <w:t>科目：</w:t>
      </w:r>
      <w:r w:rsidRPr="00076FDC">
        <w:rPr>
          <w:rFonts w:eastAsia="標楷體"/>
          <w:sz w:val="26"/>
          <w:szCs w:val="26"/>
          <w:u w:val="single"/>
        </w:rPr>
        <w:t xml:space="preserve">  </w:t>
      </w:r>
      <w:r w:rsidRPr="00076FDC">
        <w:rPr>
          <w:rFonts w:eastAsia="標楷體" w:hint="eastAsia"/>
          <w:sz w:val="26"/>
          <w:szCs w:val="26"/>
          <w:u w:val="single"/>
        </w:rPr>
        <w:t xml:space="preserve"> 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健體</w:t>
      </w:r>
      <w:r w:rsidRPr="00076FDC">
        <w:rPr>
          <w:rFonts w:eastAsia="標楷體" w:hint="eastAsia"/>
          <w:sz w:val="26"/>
          <w:szCs w:val="26"/>
          <w:u w:val="single"/>
        </w:rPr>
        <w:t>領域</w:t>
      </w:r>
      <w:r w:rsidRPr="00076FDC">
        <w:rPr>
          <w:rFonts w:eastAsia="標楷體" w:hint="eastAsia"/>
          <w:sz w:val="26"/>
          <w:szCs w:val="26"/>
          <w:u w:val="single"/>
        </w:rPr>
        <w:t xml:space="preserve">   </w:t>
      </w:r>
      <w:r w:rsidRPr="00076FDC">
        <w:rPr>
          <w:rFonts w:eastAsia="標楷體"/>
          <w:sz w:val="26"/>
          <w:szCs w:val="26"/>
          <w:u w:val="single"/>
        </w:rPr>
        <w:t xml:space="preserve">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050F24">
        <w:rPr>
          <w:rFonts w:eastAsia="標楷體" w:hint="eastAsia"/>
          <w:sz w:val="26"/>
          <w:szCs w:val="26"/>
          <w:u w:val="single"/>
        </w:rPr>
        <w:t xml:space="preserve"> </w:t>
      </w:r>
      <w:r w:rsidR="00651A60" w:rsidRPr="00076FDC">
        <w:rPr>
          <w:rFonts w:eastAsia="標楷體"/>
          <w:sz w:val="26"/>
          <w:szCs w:val="26"/>
          <w:u w:val="single"/>
        </w:rPr>
        <w:t xml:space="preserve">   </w:t>
      </w:r>
      <w:r w:rsidR="00651A60" w:rsidRPr="00076FDC">
        <w:rPr>
          <w:rFonts w:eastAsia="標楷體" w:hint="eastAsia"/>
          <w:sz w:val="26"/>
          <w:szCs w:val="26"/>
          <w:u w:val="single"/>
        </w:rPr>
        <w:t>第</w:t>
      </w:r>
      <w:r w:rsidR="00651A60">
        <w:rPr>
          <w:rFonts w:eastAsia="標楷體" w:hint="eastAsia"/>
          <w:sz w:val="26"/>
          <w:szCs w:val="26"/>
          <w:u w:val="single"/>
        </w:rPr>
        <w:t>三</w:t>
      </w:r>
      <w:r w:rsidR="00651A60" w:rsidRPr="00076FDC">
        <w:rPr>
          <w:rFonts w:eastAsia="標楷體" w:hint="eastAsia"/>
          <w:sz w:val="26"/>
          <w:szCs w:val="26"/>
          <w:u w:val="single"/>
        </w:rPr>
        <w:t>單元</w:t>
      </w:r>
      <w:r w:rsidR="00651A60">
        <w:rPr>
          <w:rFonts w:eastAsia="標楷體" w:hint="eastAsia"/>
          <w:sz w:val="26"/>
          <w:szCs w:val="26"/>
          <w:u w:val="single"/>
        </w:rPr>
        <w:t>舞躍</w:t>
      </w:r>
      <w:r w:rsidR="00651A60">
        <w:rPr>
          <w:rFonts w:eastAsia="標楷體"/>
          <w:sz w:val="26"/>
          <w:szCs w:val="26"/>
          <w:u w:val="single"/>
        </w:rPr>
        <w:t>大地</w:t>
      </w:r>
      <w:r w:rsidR="00651A60" w:rsidRPr="00076FDC"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教學節次：共</w:t>
      </w:r>
      <w:r w:rsidR="00050F24">
        <w:rPr>
          <w:rFonts w:eastAsia="標楷體"/>
          <w:sz w:val="26"/>
          <w:szCs w:val="26"/>
          <w:u w:val="single"/>
        </w:rPr>
        <w:t xml:space="preserve"> </w:t>
      </w:r>
      <w:r w:rsidR="00CE0DF5">
        <w:rPr>
          <w:rFonts w:eastAsia="標楷體" w:hint="eastAsia"/>
          <w:sz w:val="26"/>
          <w:szCs w:val="26"/>
          <w:u w:val="single"/>
        </w:rPr>
        <w:t>6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節，本次教學為第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651A60">
        <w:rPr>
          <w:rFonts w:eastAsia="標楷體"/>
          <w:sz w:val="26"/>
          <w:szCs w:val="26"/>
          <w:u w:val="single"/>
        </w:rPr>
        <w:t>2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節</w:t>
      </w:r>
    </w:p>
    <w:p w:rsidR="00050F24" w:rsidRDefault="00050F24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651A60">
        <w:rPr>
          <w:rFonts w:eastAsia="標楷體" w:hint="eastAsia"/>
          <w:sz w:val="26"/>
          <w:szCs w:val="26"/>
          <w:u w:val="single"/>
        </w:rPr>
        <w:t>黃義</w:t>
      </w:r>
      <w:r w:rsidR="00651A60">
        <w:rPr>
          <w:rFonts w:eastAsia="標楷體"/>
          <w:sz w:val="26"/>
          <w:szCs w:val="26"/>
          <w:u w:val="single"/>
        </w:rPr>
        <w:t>雄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觀察時間：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10</w:t>
      </w:r>
      <w:r w:rsidRPr="00093686">
        <w:rPr>
          <w:rFonts w:eastAsia="標楷體" w:hint="eastAsia"/>
          <w:sz w:val="26"/>
          <w:szCs w:val="26"/>
          <w:u w:val="single"/>
        </w:rPr>
        <w:t>年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651A60">
        <w:rPr>
          <w:rFonts w:eastAsia="標楷體"/>
          <w:sz w:val="26"/>
          <w:szCs w:val="26"/>
          <w:u w:val="single"/>
        </w:rPr>
        <w:t>2</w:t>
      </w:r>
      <w:r w:rsidRPr="00093686">
        <w:rPr>
          <w:rFonts w:eastAsia="標楷體" w:hint="eastAsia"/>
          <w:sz w:val="26"/>
          <w:szCs w:val="26"/>
          <w:u w:val="single"/>
        </w:rPr>
        <w:t>月</w:t>
      </w:r>
      <w:r w:rsidR="00CE0DF5">
        <w:rPr>
          <w:rFonts w:eastAsia="標楷體" w:hint="eastAsia"/>
          <w:sz w:val="26"/>
          <w:szCs w:val="26"/>
          <w:u w:val="single"/>
        </w:rPr>
        <w:t>1</w:t>
      </w:r>
      <w:r w:rsidR="00651A60">
        <w:rPr>
          <w:rFonts w:eastAsia="標楷體"/>
          <w:sz w:val="26"/>
          <w:szCs w:val="26"/>
          <w:u w:val="single"/>
        </w:rPr>
        <w:t>7</w:t>
      </w:r>
      <w:r w:rsidRPr="00093686">
        <w:rPr>
          <w:rFonts w:eastAsia="標楷體" w:hint="eastAsia"/>
          <w:sz w:val="26"/>
          <w:szCs w:val="26"/>
          <w:u w:val="single"/>
        </w:rPr>
        <w:t>日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651A60">
        <w:rPr>
          <w:rFonts w:eastAsia="標楷體"/>
          <w:sz w:val="26"/>
          <w:szCs w:val="26"/>
          <w:u w:val="single"/>
        </w:rPr>
        <w:t>4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CE0DF5">
        <w:rPr>
          <w:rFonts w:eastAsia="標楷體" w:hint="eastAsia"/>
          <w:sz w:val="26"/>
          <w:szCs w:val="26"/>
          <w:u w:val="single"/>
        </w:rPr>
        <w:t>5</w:t>
      </w:r>
      <w:r w:rsidR="00651A60">
        <w:rPr>
          <w:rFonts w:eastAsia="標楷體"/>
          <w:sz w:val="26"/>
          <w:szCs w:val="26"/>
          <w:u w:val="single"/>
        </w:rPr>
        <w:t>0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至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651A60">
        <w:rPr>
          <w:rFonts w:eastAsia="標楷體"/>
          <w:sz w:val="26"/>
          <w:szCs w:val="26"/>
          <w:u w:val="single"/>
        </w:rPr>
        <w:t>5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651A60">
        <w:rPr>
          <w:rFonts w:eastAsia="標楷體" w:hint="eastAsia"/>
          <w:sz w:val="26"/>
          <w:szCs w:val="26"/>
          <w:u w:val="single"/>
        </w:rPr>
        <w:t>30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</w:p>
    <w:p w:rsidR="00684779" w:rsidRPr="00050F24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66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8" w:rsidRPr="00EA0FF8" w:rsidRDefault="00EA0FF8" w:rsidP="00EA0FF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0FF8"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="00651A60" w:rsidRPr="00651A60">
              <w:rPr>
                <w:rFonts w:ascii="標楷體" w:eastAsia="標楷體" w:hAnsi="標楷體" w:hint="eastAsia"/>
                <w:sz w:val="20"/>
                <w:szCs w:val="20"/>
              </w:rPr>
              <w:t>農</w:t>
            </w:r>
            <w:r w:rsidR="00651A60" w:rsidRPr="00651A60">
              <w:rPr>
                <w:rFonts w:ascii="標楷體" w:eastAsia="標楷體" w:hAnsi="標楷體"/>
                <w:sz w:val="20"/>
                <w:szCs w:val="20"/>
              </w:rPr>
              <w:t>民舞</w:t>
            </w:r>
            <w:r w:rsidR="00651A60">
              <w:rPr>
                <w:rFonts w:ascii="標楷體" w:eastAsia="標楷體" w:hAnsi="標楷體" w:hint="eastAsia"/>
                <w:sz w:val="20"/>
                <w:szCs w:val="20"/>
              </w:rPr>
              <w:t>基本</w:t>
            </w:r>
            <w:r w:rsidR="00651A60">
              <w:rPr>
                <w:rFonts w:ascii="標楷體" w:eastAsia="標楷體" w:hAnsi="標楷體"/>
                <w:sz w:val="20"/>
                <w:szCs w:val="20"/>
              </w:rPr>
              <w:t>舞步</w:t>
            </w:r>
          </w:p>
          <w:p w:rsidR="00684779" w:rsidRPr="00EA0FF8" w:rsidRDefault="00651A60" w:rsidP="00651A60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動作複</w:t>
            </w:r>
            <w:r>
              <w:rPr>
                <w:rFonts w:ascii="標楷體" w:eastAsia="標楷體" w:hAnsi="標楷體"/>
                <w:sz w:val="20"/>
                <w:szCs w:val="20"/>
              </w:rPr>
              <w:t>習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651A60" w:rsidP="00651A60">
            <w:pPr>
              <w:tabs>
                <w:tab w:val="left" w:pos="518"/>
              </w:tabs>
              <w:jc w:val="both"/>
              <w:rPr>
                <w:rFonts w:ascii="標楷體" w:eastAsia="標楷體" w:hAnsi="標楷體" w:hint="eastAsia"/>
                <w:sz w:val="20"/>
              </w:rPr>
            </w:pPr>
            <w:r w:rsidRPr="00651A60">
              <w:rPr>
                <w:rFonts w:ascii="標楷體" w:eastAsia="標楷體" w:hAnsi="標楷體" w:hint="eastAsia"/>
                <w:sz w:val="20"/>
              </w:rPr>
              <w:t>二</w:t>
            </w:r>
            <w:r w:rsidRPr="00651A60">
              <w:rPr>
                <w:rFonts w:ascii="標楷體" w:eastAsia="標楷體" w:hAnsi="標楷體"/>
                <w:sz w:val="20"/>
              </w:rPr>
              <w:t>人一組</w:t>
            </w:r>
            <w:r w:rsidRPr="00651A60">
              <w:rPr>
                <w:rFonts w:ascii="標楷體" w:eastAsia="標楷體" w:hAnsi="標楷體" w:hint="eastAsia"/>
                <w:sz w:val="20"/>
              </w:rPr>
              <w:t>滑步、</w:t>
            </w:r>
            <w:r w:rsidRPr="00651A60">
              <w:rPr>
                <w:rFonts w:ascii="標楷體" w:eastAsia="標楷體" w:hAnsi="標楷體"/>
                <w:sz w:val="20"/>
              </w:rPr>
              <w:t>四人一組</w:t>
            </w:r>
            <w:r w:rsidRPr="00651A60">
              <w:rPr>
                <w:rFonts w:ascii="標楷體" w:eastAsia="標楷體" w:hAnsi="標楷體" w:hint="eastAsia"/>
                <w:sz w:val="20"/>
              </w:rPr>
              <w:t>樸克步</w:t>
            </w:r>
            <w:r>
              <w:rPr>
                <w:rFonts w:ascii="標楷體" w:eastAsia="標楷體" w:hAnsi="標楷體" w:hint="eastAsia"/>
                <w:sz w:val="20"/>
              </w:rPr>
              <w:t>舞步</w:t>
            </w:r>
            <w:r>
              <w:rPr>
                <w:rFonts w:ascii="標楷體" w:eastAsia="標楷體" w:hAnsi="標楷體"/>
                <w:sz w:val="20"/>
              </w:rPr>
              <w:t>要領</w:t>
            </w:r>
            <w:r>
              <w:rPr>
                <w:rFonts w:ascii="標楷體" w:eastAsia="標楷體" w:hAnsi="標楷體" w:hint="eastAsia"/>
                <w:sz w:val="20"/>
              </w:rPr>
              <w:t>講</w:t>
            </w:r>
            <w:r>
              <w:rPr>
                <w:rFonts w:ascii="標楷體" w:eastAsia="標楷體" w:hAnsi="標楷體"/>
                <w:sz w:val="20"/>
              </w:rPr>
              <w:t>解操作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實作</w:t>
            </w:r>
            <w:r w:rsidR="00651A60" w:rsidRPr="00651A60">
              <w:rPr>
                <w:rFonts w:ascii="標楷體" w:eastAsia="標楷體" w:hAnsi="標楷體" w:hint="eastAsia"/>
                <w:sz w:val="20"/>
              </w:rPr>
              <w:t>熟</w:t>
            </w:r>
            <w:r w:rsidR="00651A60" w:rsidRPr="00651A60">
              <w:rPr>
                <w:rFonts w:ascii="標楷體" w:eastAsia="標楷體" w:hAnsi="標楷體"/>
                <w:sz w:val="20"/>
              </w:rPr>
              <w:t>練</w:t>
            </w:r>
            <w:r w:rsidR="00651A60" w:rsidRPr="00651A60">
              <w:rPr>
                <w:rFonts w:ascii="標楷體" w:eastAsia="標楷體" w:hAnsi="標楷體" w:hint="eastAsia"/>
                <w:sz w:val="20"/>
              </w:rPr>
              <w:t>學</w:t>
            </w:r>
            <w:r w:rsidR="00651A60" w:rsidRPr="00651A60">
              <w:rPr>
                <w:rFonts w:ascii="標楷體" w:eastAsia="標楷體" w:hAnsi="標楷體"/>
                <w:sz w:val="20"/>
              </w:rPr>
              <w:t>習</w:t>
            </w:r>
            <w:r w:rsidR="00651A60" w:rsidRPr="00651A60">
              <w:rPr>
                <w:rFonts w:ascii="標楷體" w:eastAsia="標楷體" w:hAnsi="標楷體" w:hint="eastAsia"/>
                <w:sz w:val="20"/>
              </w:rPr>
              <w:t>內</w:t>
            </w:r>
            <w:r w:rsidR="00651A60" w:rsidRPr="00651A60">
              <w:rPr>
                <w:rFonts w:ascii="標楷體" w:eastAsia="標楷體" w:hAnsi="標楷體"/>
                <w:sz w:val="20"/>
              </w:rPr>
              <w:t>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651A60" w:rsidP="00651A60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sz w:val="20"/>
              </w:rPr>
            </w:pPr>
            <w:r w:rsidRPr="00651A60">
              <w:rPr>
                <w:rFonts w:ascii="標楷體" w:eastAsia="標楷體" w:hAnsi="標楷體" w:hint="eastAsia"/>
                <w:sz w:val="20"/>
              </w:rPr>
              <w:t>部分教學告一段落後能重複學習重點，加強學生映像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sz w:val="26"/>
                <w:szCs w:val="26"/>
              </w:rPr>
              <w:t>運</w:t>
            </w: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 w:hint="eastAsia"/>
                <w:b/>
                <w:sz w:val="26"/>
                <w:szCs w:val="26"/>
              </w:rPr>
              <w:t>用適切教學策略與溝通技巧，幫助學生學習。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651A6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利</w:t>
            </w:r>
            <w:r>
              <w:rPr>
                <w:rFonts w:ascii="標楷體" w:eastAsia="標楷體" w:hAnsi="標楷體"/>
                <w:sz w:val="20"/>
              </w:rPr>
              <w:t>用節</w:t>
            </w:r>
            <w:r>
              <w:rPr>
                <w:rFonts w:ascii="標楷體" w:eastAsia="標楷體" w:hAnsi="標楷體" w:hint="eastAsia"/>
                <w:sz w:val="20"/>
              </w:rPr>
              <w:t>奏</w:t>
            </w:r>
            <w:r w:rsidR="00453E57">
              <w:rPr>
                <w:rFonts w:ascii="標楷體" w:eastAsia="標楷體" w:hAnsi="標楷體" w:hint="eastAsia"/>
                <w:sz w:val="20"/>
              </w:rPr>
              <w:t>幫</w:t>
            </w:r>
            <w:r w:rsidR="00453E57">
              <w:rPr>
                <w:rFonts w:ascii="標楷體" w:eastAsia="標楷體" w:hAnsi="標楷體"/>
                <w:sz w:val="20"/>
              </w:rPr>
              <w:t>助</w:t>
            </w:r>
            <w:r w:rsidR="00453E57">
              <w:rPr>
                <w:rFonts w:ascii="標楷體" w:eastAsia="標楷體" w:hAnsi="標楷體" w:hint="eastAsia"/>
                <w:sz w:val="20"/>
              </w:rPr>
              <w:t>學</w:t>
            </w:r>
            <w:r w:rsidR="00453E57">
              <w:rPr>
                <w:rFonts w:ascii="標楷體" w:eastAsia="標楷體" w:hAnsi="標楷體"/>
                <w:sz w:val="20"/>
              </w:rPr>
              <w:t>生動作練習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453E57" w:rsidP="00283052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配</w:t>
            </w:r>
            <w:r w:rsidRPr="00453E57">
              <w:rPr>
                <w:rFonts w:ascii="標楷體" w:eastAsia="標楷體" w:hAnsi="標楷體"/>
                <w:sz w:val="20"/>
              </w:rPr>
              <w:t>合音樂練習舞序與隊形</w:t>
            </w:r>
            <w:r w:rsidRPr="00453E57">
              <w:rPr>
                <w:rFonts w:ascii="標楷體" w:eastAsia="標楷體" w:hAnsi="標楷體" w:hint="eastAsia"/>
                <w:sz w:val="20"/>
              </w:rPr>
              <w:t>，</w:t>
            </w:r>
            <w:r w:rsidRPr="00453E57">
              <w:rPr>
                <w:rFonts w:ascii="標楷體" w:eastAsia="標楷體" w:hAnsi="標楷體"/>
                <w:sz w:val="20"/>
              </w:rPr>
              <w:t>將動作組合並連貫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8B0CCC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學生練習時教室走動，隨時指導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453E57" w:rsidTr="0068477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動態評量觀</w:t>
            </w:r>
            <w:r w:rsidRPr="00453E57">
              <w:rPr>
                <w:rFonts w:ascii="標楷體" w:eastAsia="標楷體" w:hAnsi="標楷體"/>
                <w:sz w:val="20"/>
              </w:rPr>
              <w:t>察學生</w:t>
            </w:r>
            <w:r w:rsidRPr="00453E57">
              <w:rPr>
                <w:rFonts w:ascii="標楷體" w:eastAsia="標楷體" w:hAnsi="標楷體" w:hint="eastAsia"/>
                <w:sz w:val="20"/>
              </w:rPr>
              <w:t>姿</w:t>
            </w:r>
            <w:r w:rsidRPr="00453E57">
              <w:rPr>
                <w:rFonts w:ascii="標楷體" w:eastAsia="標楷體" w:hAnsi="標楷體"/>
                <w:sz w:val="20"/>
              </w:rPr>
              <w:t>勢</w:t>
            </w:r>
            <w:r w:rsidRPr="00453E57">
              <w:rPr>
                <w:rFonts w:ascii="標楷體" w:eastAsia="標楷體" w:hAnsi="標楷體" w:hint="eastAsia"/>
                <w:sz w:val="20"/>
              </w:rPr>
              <w:t>及</w:t>
            </w:r>
            <w:r w:rsidRPr="00453E57">
              <w:rPr>
                <w:rFonts w:ascii="標楷體" w:eastAsia="標楷體" w:hAnsi="標楷體"/>
                <w:sz w:val="20"/>
              </w:rPr>
              <w:t>準確</w:t>
            </w:r>
            <w:r w:rsidRPr="00453E57">
              <w:rPr>
                <w:rFonts w:ascii="標楷體" w:eastAsia="標楷體" w:hAnsi="標楷體" w:hint="eastAsia"/>
                <w:sz w:val="20"/>
              </w:rPr>
              <w:t>性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提</w:t>
            </w:r>
            <w:r w:rsidRPr="00453E57">
              <w:rPr>
                <w:rFonts w:ascii="標楷體" w:eastAsia="標楷體" w:hAnsi="標楷體"/>
                <w:sz w:val="20"/>
              </w:rPr>
              <w:t>問學生</w:t>
            </w:r>
            <w:r w:rsidRPr="00453E57">
              <w:rPr>
                <w:rFonts w:ascii="標楷體" w:eastAsia="標楷體" w:hAnsi="標楷體" w:hint="eastAsia"/>
                <w:sz w:val="20"/>
              </w:rPr>
              <w:t>思</w:t>
            </w:r>
            <w:r w:rsidRPr="00453E57">
              <w:rPr>
                <w:rFonts w:ascii="標楷體" w:eastAsia="標楷體" w:hAnsi="標楷體"/>
                <w:sz w:val="20"/>
              </w:rPr>
              <w:t>考如何將動作組合並連貫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根據學生練習，檢視學生學習成果，改</w:t>
            </w:r>
            <w:r w:rsidRPr="00453E57">
              <w:rPr>
                <w:rFonts w:ascii="標楷體" w:eastAsia="標楷體" w:hAnsi="標楷體"/>
                <w:sz w:val="20"/>
              </w:rPr>
              <w:t>為</w:t>
            </w:r>
            <w:r w:rsidRPr="00453E57">
              <w:rPr>
                <w:rFonts w:ascii="標楷體" w:eastAsia="標楷體" w:hAnsi="標楷體" w:hint="eastAsia"/>
                <w:sz w:val="20"/>
              </w:rPr>
              <w:t>競</w:t>
            </w:r>
            <w:r w:rsidRPr="00453E57">
              <w:rPr>
                <w:rFonts w:ascii="標楷體" w:eastAsia="標楷體" w:hAnsi="標楷體"/>
                <w:sz w:val="20"/>
              </w:rPr>
              <w:t>賽方式或</w:t>
            </w:r>
            <w:r w:rsidRPr="00453E57">
              <w:rPr>
                <w:rFonts w:ascii="標楷體" w:eastAsia="標楷體" w:hAnsi="標楷體" w:hint="eastAsia"/>
                <w:sz w:val="20"/>
              </w:rPr>
              <w:t>變更遊</w:t>
            </w:r>
            <w:r w:rsidRPr="00453E57">
              <w:rPr>
                <w:rFonts w:ascii="標楷體" w:eastAsia="標楷體" w:hAnsi="標楷體"/>
                <w:sz w:val="20"/>
              </w:rPr>
              <w:t>戲</w:t>
            </w:r>
            <w:r w:rsidRPr="00453E57">
              <w:rPr>
                <w:rFonts w:ascii="標楷體" w:eastAsia="標楷體" w:hAnsi="標楷體" w:hint="eastAsia"/>
                <w:sz w:val="20"/>
              </w:rPr>
              <w:t>項目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根據學習成果，介紹</w:t>
            </w:r>
            <w:r w:rsidRPr="00453E57">
              <w:rPr>
                <w:rFonts w:ascii="標楷體" w:eastAsia="標楷體" w:hAnsi="標楷體"/>
                <w:sz w:val="20"/>
              </w:rPr>
              <w:t>平日運動</w:t>
            </w:r>
            <w:r w:rsidRPr="00453E57">
              <w:rPr>
                <w:rFonts w:ascii="標楷體" w:eastAsia="標楷體" w:hAnsi="標楷體" w:hint="eastAsia"/>
                <w:sz w:val="20"/>
              </w:rPr>
              <w:t>可</w:t>
            </w:r>
            <w:r w:rsidRPr="00453E57">
              <w:rPr>
                <w:rFonts w:ascii="標楷體" w:eastAsia="標楷體" w:hAnsi="標楷體"/>
                <w:sz w:val="20"/>
              </w:rPr>
              <w:t>加</w:t>
            </w:r>
            <w:r w:rsidRPr="00453E57">
              <w:rPr>
                <w:rFonts w:ascii="標楷體" w:eastAsia="標楷體" w:hAnsi="標楷體" w:hint="eastAsia"/>
                <w:sz w:val="20"/>
              </w:rPr>
              <w:t>強的</w:t>
            </w:r>
            <w:r w:rsidRPr="00453E57">
              <w:rPr>
                <w:rFonts w:ascii="標楷體" w:eastAsia="標楷體" w:hAnsi="標楷體"/>
                <w:sz w:val="20"/>
              </w:rPr>
              <w:lastRenderedPageBreak/>
              <w:t>練習方式。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453E57" w:rsidTr="00684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453E57" w:rsidTr="00684779">
        <w:trPr>
          <w:trHeight w:val="7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453E57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83052">
              <w:rPr>
                <w:rFonts w:ascii="標楷體" w:eastAsia="標楷體" w:hAnsi="標楷體" w:hint="eastAsia"/>
                <w:sz w:val="20"/>
              </w:rPr>
              <w:t>先舉手</w:t>
            </w:r>
            <w:r>
              <w:rPr>
                <w:rFonts w:ascii="標楷體" w:eastAsia="標楷體" w:hAnsi="標楷體" w:hint="eastAsia"/>
                <w:sz w:val="20"/>
              </w:rPr>
              <w:t>，經同意後</w:t>
            </w:r>
            <w:r w:rsidRPr="00283052">
              <w:rPr>
                <w:rFonts w:ascii="標楷體" w:eastAsia="標楷體" w:hAnsi="標楷體" w:hint="eastAsia"/>
                <w:sz w:val="20"/>
              </w:rPr>
              <w:t>發言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學生有問題時能適時指導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453E57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5B43B3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5B43B3">
              <w:rPr>
                <w:rFonts w:ascii="標楷體" w:eastAsia="標楷體" w:hAnsi="標楷體" w:hint="eastAsia"/>
              </w:rPr>
              <w:t>利</w:t>
            </w:r>
            <w:r w:rsidRPr="005B43B3">
              <w:rPr>
                <w:rFonts w:ascii="標楷體" w:eastAsia="標楷體" w:hAnsi="標楷體"/>
              </w:rPr>
              <w:t>用</w:t>
            </w:r>
            <w:r w:rsidRPr="005B43B3">
              <w:rPr>
                <w:rFonts w:ascii="標楷體" w:eastAsia="標楷體" w:hAnsi="標楷體" w:hint="eastAsia"/>
              </w:rPr>
              <w:t>場</w:t>
            </w:r>
            <w:r w:rsidRPr="005B43B3">
              <w:rPr>
                <w:rFonts w:ascii="標楷體" w:eastAsia="標楷體" w:hAnsi="標楷體"/>
              </w:rPr>
              <w:t>地器材</w:t>
            </w:r>
            <w:r w:rsidRPr="005B43B3">
              <w:rPr>
                <w:rFonts w:ascii="標楷體" w:eastAsia="標楷體" w:hAnsi="標楷體" w:hint="eastAsia"/>
              </w:rPr>
              <w:t>，</w:t>
            </w:r>
            <w:r w:rsidRPr="005B43B3">
              <w:rPr>
                <w:rFonts w:ascii="標楷體" w:eastAsia="標楷體" w:hAnsi="標楷體"/>
              </w:rPr>
              <w:t>安排練習場所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453E57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57" w:rsidRDefault="00453E57" w:rsidP="00453E57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Pr="00283052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3E57">
              <w:rPr>
                <w:rFonts w:ascii="標楷體" w:eastAsia="標楷體" w:hAnsi="標楷體" w:hint="eastAsia"/>
                <w:sz w:val="20"/>
              </w:rPr>
              <w:t>讚美、幽默等技巧營造溫暖的學習氣氛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57" w:rsidRDefault="00453E57" w:rsidP="00453E57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1E377F" w:rsidRDefault="001E377F" w:rsidP="00453E57">
      <w:bookmarkStart w:id="0" w:name="_GoBack"/>
      <w:bookmarkEnd w:id="0"/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6A" w:rsidRDefault="00ED7D6A" w:rsidP="002E3816">
      <w:r>
        <w:separator/>
      </w:r>
    </w:p>
  </w:endnote>
  <w:endnote w:type="continuationSeparator" w:id="0">
    <w:p w:rsidR="00ED7D6A" w:rsidRDefault="00ED7D6A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6A" w:rsidRDefault="00ED7D6A" w:rsidP="002E3816">
      <w:r>
        <w:separator/>
      </w:r>
    </w:p>
  </w:footnote>
  <w:footnote w:type="continuationSeparator" w:id="0">
    <w:p w:rsidR="00ED7D6A" w:rsidRDefault="00ED7D6A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166BED"/>
    <w:multiLevelType w:val="hybridMultilevel"/>
    <w:tmpl w:val="131EDA7E"/>
    <w:lvl w:ilvl="0" w:tplc="6D46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2E78"/>
    <w:rsid w:val="00050F24"/>
    <w:rsid w:val="00054BEA"/>
    <w:rsid w:val="0006117F"/>
    <w:rsid w:val="000620E3"/>
    <w:rsid w:val="00077598"/>
    <w:rsid w:val="00095A81"/>
    <w:rsid w:val="000A41E8"/>
    <w:rsid w:val="000B4AC8"/>
    <w:rsid w:val="000D54D3"/>
    <w:rsid w:val="000E7868"/>
    <w:rsid w:val="00120236"/>
    <w:rsid w:val="00195B76"/>
    <w:rsid w:val="001B2801"/>
    <w:rsid w:val="001E377F"/>
    <w:rsid w:val="00274AA8"/>
    <w:rsid w:val="00283052"/>
    <w:rsid w:val="002E3816"/>
    <w:rsid w:val="00315D8A"/>
    <w:rsid w:val="0032657E"/>
    <w:rsid w:val="003A5F8E"/>
    <w:rsid w:val="00453E57"/>
    <w:rsid w:val="004C1348"/>
    <w:rsid w:val="004F466D"/>
    <w:rsid w:val="005321BB"/>
    <w:rsid w:val="00545F5C"/>
    <w:rsid w:val="005700F5"/>
    <w:rsid w:val="005A058C"/>
    <w:rsid w:val="005A5ED9"/>
    <w:rsid w:val="00651A60"/>
    <w:rsid w:val="0066058E"/>
    <w:rsid w:val="00684779"/>
    <w:rsid w:val="006D7DFF"/>
    <w:rsid w:val="00757118"/>
    <w:rsid w:val="0086268B"/>
    <w:rsid w:val="008A036D"/>
    <w:rsid w:val="00953558"/>
    <w:rsid w:val="00A358AC"/>
    <w:rsid w:val="00A460F7"/>
    <w:rsid w:val="00A56A50"/>
    <w:rsid w:val="00A7683C"/>
    <w:rsid w:val="00A900FB"/>
    <w:rsid w:val="00AF4702"/>
    <w:rsid w:val="00BC1EC0"/>
    <w:rsid w:val="00C1723E"/>
    <w:rsid w:val="00CE0DF5"/>
    <w:rsid w:val="00CF1688"/>
    <w:rsid w:val="00CF5FFF"/>
    <w:rsid w:val="00D06D3F"/>
    <w:rsid w:val="00D172AC"/>
    <w:rsid w:val="00D5424C"/>
    <w:rsid w:val="00DC195A"/>
    <w:rsid w:val="00E0026B"/>
    <w:rsid w:val="00E051CA"/>
    <w:rsid w:val="00E71586"/>
    <w:rsid w:val="00E73787"/>
    <w:rsid w:val="00E74E24"/>
    <w:rsid w:val="00E87D52"/>
    <w:rsid w:val="00EA0FF8"/>
    <w:rsid w:val="00ED7D6A"/>
    <w:rsid w:val="00EF69FC"/>
    <w:rsid w:val="00F562A1"/>
    <w:rsid w:val="00F8076B"/>
    <w:rsid w:val="00FA513F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6E1CF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DE79-B7C6-407E-AD1B-53DA55E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總務主任</cp:lastModifiedBy>
  <cp:revision>7</cp:revision>
  <cp:lastPrinted>2019-09-18T05:16:00Z</cp:lastPrinted>
  <dcterms:created xsi:type="dcterms:W3CDTF">2021-10-31T00:59:00Z</dcterms:created>
  <dcterms:modified xsi:type="dcterms:W3CDTF">2021-12-20T01:43:00Z</dcterms:modified>
</cp:coreProperties>
</file>