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12" w:rsidRDefault="00D47712" w:rsidP="00D47712">
      <w:pPr>
        <w:jc w:val="center"/>
        <w:rPr>
          <w:rFonts w:ascii="標楷體" w:eastAsia="標楷體" w:hAnsi="標楷體"/>
          <w:sz w:val="32"/>
        </w:rPr>
      </w:pPr>
      <w:r w:rsidRPr="00863D1E">
        <w:rPr>
          <w:rFonts w:ascii="標楷體" w:eastAsia="標楷體" w:hAnsi="標楷體" w:hint="eastAsia"/>
          <w:sz w:val="32"/>
        </w:rPr>
        <w:t>基隆市</w:t>
      </w:r>
      <w:proofErr w:type="gramStart"/>
      <w:r w:rsidRPr="00863D1E">
        <w:rPr>
          <w:rFonts w:ascii="標楷體" w:eastAsia="標楷體" w:hAnsi="標楷體" w:hint="eastAsia"/>
          <w:sz w:val="32"/>
        </w:rPr>
        <w:t>碇</w:t>
      </w:r>
      <w:proofErr w:type="gramEnd"/>
      <w:r w:rsidRPr="00863D1E">
        <w:rPr>
          <w:rFonts w:ascii="標楷體" w:eastAsia="標楷體" w:hAnsi="標楷體" w:hint="eastAsia"/>
          <w:sz w:val="32"/>
        </w:rPr>
        <w:t>內國小(</w:t>
      </w:r>
      <w:r>
        <w:rPr>
          <w:rFonts w:ascii="標楷體" w:eastAsia="標楷體" w:hAnsi="標楷體" w:hint="eastAsia"/>
          <w:sz w:val="32"/>
        </w:rPr>
        <w:t>111</w:t>
      </w:r>
      <w:r w:rsidRPr="00863D1E">
        <w:rPr>
          <w:rFonts w:ascii="標楷體" w:eastAsia="標楷體" w:hAnsi="標楷體" w:hint="eastAsia"/>
          <w:sz w:val="32"/>
        </w:rPr>
        <w:t>)學年度教師</w:t>
      </w:r>
      <w:proofErr w:type="gramStart"/>
      <w:r w:rsidRPr="00863D1E">
        <w:rPr>
          <w:rFonts w:ascii="標楷體" w:eastAsia="標楷體" w:hAnsi="標楷體" w:hint="eastAsia"/>
          <w:sz w:val="32"/>
        </w:rPr>
        <w:t>公開觀課教學</w:t>
      </w:r>
      <w:proofErr w:type="gramEnd"/>
      <w:r w:rsidRPr="00863D1E">
        <w:rPr>
          <w:rFonts w:ascii="標楷體" w:eastAsia="標楷體" w:hAnsi="標楷體" w:hint="eastAsia"/>
          <w:sz w:val="32"/>
        </w:rPr>
        <w:t>活動設計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47712" w:rsidRPr="00863D1E" w:rsidTr="00973461"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 w:rsidRPr="00863D1E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張宗秀</w:t>
            </w:r>
          </w:p>
        </w:tc>
      </w:tr>
      <w:tr w:rsidR="00D47712" w:rsidRPr="00863D1E" w:rsidTr="00973461"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2614" w:type="dxa"/>
          </w:tcPr>
          <w:p w:rsidR="00D47712" w:rsidRPr="00863D1E" w:rsidRDefault="00184AED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47712">
              <w:rPr>
                <w:rFonts w:ascii="標楷體" w:eastAsia="標楷體" w:hAnsi="標楷體" w:hint="eastAsia"/>
              </w:rPr>
              <w:t>分鐘</w:t>
            </w:r>
          </w:p>
        </w:tc>
      </w:tr>
      <w:tr w:rsidR="00D47712" w:rsidRPr="00863D1E" w:rsidTr="00973461"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14" w:type="dxa"/>
          </w:tcPr>
          <w:p w:rsidR="00D47712" w:rsidRPr="00AD04AE" w:rsidRDefault="00D47712" w:rsidP="00973461">
            <w:pPr>
              <w:jc w:val="center"/>
              <w:rPr>
                <w:rFonts w:ascii="標楷體" w:eastAsia="標楷體" w:hAnsi="標楷體"/>
              </w:rPr>
            </w:pPr>
            <w:r w:rsidRPr="00AD04AE">
              <w:rPr>
                <w:rFonts w:ascii="標楷體" w:eastAsia="標楷體" w:hAnsi="標楷體" w:cs="Times New Roman" w:hint="eastAsia"/>
                <w:szCs w:val="24"/>
              </w:rPr>
              <w:t>桌上遊戲</w:t>
            </w:r>
            <w:r>
              <w:rPr>
                <w:rFonts w:ascii="標楷體" w:eastAsia="標楷體" w:hAnsi="標楷體" w:cs="Times New Roman" w:hint="eastAsia"/>
                <w:szCs w:val="24"/>
              </w:rPr>
              <w:t>好好玩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111/11/03</w:t>
            </w:r>
          </w:p>
        </w:tc>
      </w:tr>
      <w:tr w:rsidR="00D47712" w:rsidRPr="00863D1E" w:rsidTr="00973461"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觀課者</w:t>
            </w:r>
            <w:proofErr w:type="gramEnd"/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簡淑清、蕭姍美</w:t>
            </w:r>
          </w:p>
        </w:tc>
      </w:tr>
      <w:tr w:rsidR="00D47712" w:rsidRPr="00863D1E" w:rsidTr="00973461"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614" w:type="dxa"/>
          </w:tcPr>
          <w:p w:rsidR="00D47712" w:rsidRPr="00AD04AE" w:rsidRDefault="00D47712" w:rsidP="00973461">
            <w:pPr>
              <w:jc w:val="center"/>
              <w:rPr>
                <w:rFonts w:ascii="標楷體" w:eastAsia="標楷體" w:hAnsi="標楷體"/>
              </w:rPr>
            </w:pPr>
            <w:r w:rsidRPr="00AD04AE">
              <w:rPr>
                <w:rFonts w:ascii="標楷體" w:eastAsia="標楷體" w:hAnsi="標楷體" w:cs="Times New Roman" w:hint="eastAsia"/>
                <w:szCs w:val="24"/>
              </w:rPr>
              <w:t>瀑布淘金客</w:t>
            </w: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47712" w:rsidRDefault="00D47712" w:rsidP="00D4771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6312"/>
        <w:gridCol w:w="1530"/>
      </w:tblGrid>
      <w:tr w:rsidR="00D47712" w:rsidRPr="00863D1E" w:rsidTr="00973461">
        <w:tc>
          <w:tcPr>
            <w:tcW w:w="10456" w:type="dxa"/>
            <w:gridSpan w:val="3"/>
          </w:tcPr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D47712" w:rsidRPr="00863D1E" w:rsidTr="00973461">
        <w:tc>
          <w:tcPr>
            <w:tcW w:w="2614" w:type="dxa"/>
          </w:tcPr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312" w:type="dxa"/>
          </w:tcPr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30" w:type="dxa"/>
          </w:tcPr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時間及教具</w:t>
            </w:r>
          </w:p>
        </w:tc>
      </w:tr>
      <w:tr w:rsidR="00D47712" w:rsidRPr="00863D1E" w:rsidTr="00973461">
        <w:trPr>
          <w:trHeight w:val="11339"/>
        </w:trPr>
        <w:tc>
          <w:tcPr>
            <w:tcW w:w="2614" w:type="dxa"/>
          </w:tcPr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312" w:type="dxa"/>
          </w:tcPr>
          <w:p w:rsidR="00D47712" w:rsidRPr="00A53144" w:rsidRDefault="00D47712" w:rsidP="00973461">
            <w:pPr>
              <w:contextualSpacing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Pr="00AD04AE">
              <w:rPr>
                <w:rFonts w:ascii="標楷體" w:eastAsia="標楷體" w:hAnsi="標楷體" w:cs="Times New Roman" w:hint="eastAsia"/>
                <w:szCs w:val="24"/>
              </w:rPr>
              <w:t>瀑布淘金客</w:t>
            </w:r>
            <w:r w:rsidRPr="00A53144">
              <w:rPr>
                <w:rFonts w:ascii="標楷體" w:eastAsia="標楷體" w:hAnsi="標楷體" w:hint="eastAsia"/>
                <w:b/>
              </w:rPr>
              <w:t>】</w:t>
            </w:r>
          </w:p>
          <w:p w:rsidR="00D47712" w:rsidRPr="00E94130" w:rsidRDefault="00D47712" w:rsidP="00973461">
            <w:pPr>
              <w:widowControl/>
              <w:rPr>
                <w:rFonts w:ascii="標楷體" w:eastAsia="標楷體" w:hAnsi="標楷體" w:cs="新細明體"/>
                <w:kern w:val="0"/>
                <w:lang w:bidi="he-IL"/>
              </w:rPr>
            </w:pPr>
            <w:r w:rsidRPr="00E94130">
              <w:rPr>
                <w:rFonts w:ascii="標楷體" w:eastAsia="標楷體" w:hAnsi="標楷體" w:cs="新細明體" w:hint="eastAsia"/>
                <w:kern w:val="0"/>
                <w:lang w:bidi="he-IL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lang w:bidi="he-IL"/>
              </w:rPr>
              <w:t>、</w:t>
            </w:r>
            <w:r w:rsidRPr="00E94130">
              <w:rPr>
                <w:rFonts w:ascii="標楷體" w:eastAsia="標楷體" w:hAnsi="標楷體" w:cs="新細明體" w:hint="eastAsia"/>
                <w:kern w:val="0"/>
                <w:lang w:bidi="he-IL"/>
              </w:rPr>
              <w:t>教師透過影片介紹尼加拉瓜大瀑布。</w:t>
            </w:r>
          </w:p>
          <w:p w:rsidR="00D47712" w:rsidRPr="00E94130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lang w:bidi="he-IL"/>
              </w:rPr>
            </w:pPr>
            <w:r w:rsidRPr="00E94130">
              <w:rPr>
                <w:rFonts w:ascii="標楷體" w:eastAsia="標楷體" w:hAnsi="標楷體" w:cs="新細明體" w:hint="eastAsia"/>
                <w:kern w:val="0"/>
                <w:lang w:bidi="he-IL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lang w:bidi="he-IL"/>
              </w:rPr>
              <w:t>、</w:t>
            </w:r>
            <w:r w:rsidRPr="00E94130">
              <w:rPr>
                <w:rFonts w:ascii="標楷體" w:eastAsia="標楷體" w:hAnsi="標楷體" w:cs="新細明體" w:hint="eastAsia"/>
                <w:kern w:val="0"/>
                <w:lang w:bidi="he-IL"/>
              </w:rPr>
              <w:t>教師用說故事方式，講解為何要找鑽石。</w:t>
            </w:r>
          </w:p>
          <w:p w:rsidR="00D47712" w:rsidRPr="00E94130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 w:cs="微軟正黑體"/>
                <w:kern w:val="0"/>
                <w:lang w:bidi="he-IL"/>
              </w:rPr>
            </w:pPr>
          </w:p>
          <w:p w:rsidR="00D47712" w:rsidRPr="00E94130" w:rsidRDefault="00D47712" w:rsidP="00D47712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lang w:bidi="he-IL"/>
              </w:rPr>
            </w:pPr>
            <w:r w:rsidRPr="00E94130">
              <w:rPr>
                <w:rFonts w:ascii="標楷體" w:eastAsia="標楷體" w:hAnsi="標楷體" w:cs="微軟正黑體" w:hint="eastAsia"/>
                <w:kern w:val="0"/>
                <w:lang w:bidi="he-IL"/>
              </w:rPr>
              <w:t>說明遊戲規則：</w:t>
            </w:r>
          </w:p>
          <w:p w:rsidR="00D47712" w:rsidRPr="00E94130" w:rsidRDefault="00D47712" w:rsidP="00973461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)遊戲設置：</w:t>
            </w:r>
          </w:p>
          <w:p w:rsidR="00D47712" w:rsidRPr="00E94130" w:rsidRDefault="00D47712" w:rsidP="00973461">
            <w:pPr>
              <w:pStyle w:val="a4"/>
              <w:widowControl/>
              <w:ind w:leftChars="0" w:left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在河道邊相對應顏色的地方 每</w:t>
            </w:r>
            <w:proofErr w:type="gramStart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個地方各放上七</w:t>
            </w:r>
            <w:proofErr w:type="gramEnd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顆顏色相應的寶石 </w:t>
            </w:r>
          </w:p>
          <w:p w:rsidR="00D47712" w:rsidRPr="00E94130" w:rsidRDefault="00D47712" w:rsidP="00973461">
            <w:pPr>
              <w:pStyle w:val="a4"/>
              <w:widowControl/>
              <w:ind w:leftChars="0" w:left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把九個河流圓片片放在河流裡 </w:t>
            </w:r>
          </w:p>
          <w:p w:rsidR="00D47712" w:rsidRPr="00E94130" w:rsidRDefault="00D47712" w:rsidP="00973461">
            <w:pPr>
              <w:pStyle w:val="a4"/>
              <w:widowControl/>
              <w:ind w:leftChars="0" w:left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把雲朵標誌放在0的位置</w:t>
            </w:r>
          </w:p>
          <w:p w:rsidR="00D47712" w:rsidRPr="00E94130" w:rsidRDefault="00D47712" w:rsidP="00973461">
            <w:pPr>
              <w:pStyle w:val="a4"/>
              <w:widowControl/>
              <w:ind w:leftChars="0" w:left="60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  <w:lang w:bidi="he-IL"/>
              </w:rPr>
            </w:pP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每名玩家拿取自己顏色的兩艘獨木舟和七張</w:t>
            </w:r>
            <w:proofErr w:type="gramStart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船槳卡把獨木舟</w:t>
            </w:r>
            <w:proofErr w:type="gramEnd"/>
            <w:r w:rsidRPr="00E94130">
              <w:rPr>
                <w:rFonts w:ascii="標楷體" w:eastAsia="標楷體" w:hAnsi="標楷體" w:hint="eastAsia"/>
                <w:color w:val="000000" w:themeColor="text1"/>
                <w:szCs w:val="24"/>
              </w:rPr>
              <w:t>放在岸上 (版圖的最右邊)</w:t>
            </w:r>
          </w:p>
          <w:p w:rsidR="00D47712" w:rsidRPr="000E0E8B" w:rsidRDefault="00D47712" w:rsidP="00973461">
            <w:pPr>
              <w:widowControl/>
              <w:ind w:leftChars="200" w:left="720" w:hangingChars="100" w:hanging="240"/>
              <w:rPr>
                <w:rFonts w:ascii="標楷體" w:eastAsia="標楷體" w:hAnsi="標楷體" w:cs="Arial"/>
                <w:kern w:val="0"/>
                <w:lang w:bidi="he-IL"/>
              </w:rPr>
            </w:pPr>
          </w:p>
          <w:p w:rsidR="00D47712" w:rsidRPr="00B2307D" w:rsidRDefault="00D47712" w:rsidP="00973461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lang w:bidi="he-IL"/>
              </w:rPr>
            </w:pPr>
            <w:r>
              <w:rPr>
                <w:rStyle w:val="a5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(</w:t>
            </w:r>
            <w:r w:rsidRPr="00B2307D">
              <w:rPr>
                <w:rStyle w:val="a5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二)遊戲流程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1.</w:t>
            </w: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所有玩家選擇一張船槳卡，正面朝下打出，然後由起始玩家開始輪流翻開並執行效果。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2.</w:t>
            </w: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根據船槳卡的內容，玩家可執行效果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300" w:firstLine="7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）移動獨木舟：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400" w:firstLine="96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a.依照</w:t>
            </w:r>
            <w:proofErr w:type="gramStart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船漿</w:t>
            </w:r>
            <w:proofErr w:type="gramEnd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卡的數字移動，但同一艘船只能往同一方向，</w:t>
            </w:r>
            <w:proofErr w:type="gramStart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且步數</w:t>
            </w:r>
            <w:proofErr w:type="gramEnd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一定要執行完畢；拿取或卸載</w:t>
            </w:r>
            <w:proofErr w:type="gramStart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寶石均算兩個</w:t>
            </w:r>
            <w:proofErr w:type="gramEnd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行動，且只能在移動前或後執行，也只能執行一次。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400" w:firstLine="96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b.若兩艘船都在岸上，只能移動一艘下水，且一定要下水；若一艘在岸上、一艘在河裡，</w:t>
            </w:r>
            <w:proofErr w:type="gramStart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則河裡</w:t>
            </w:r>
            <w:proofErr w:type="gramEnd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的那艘一定要移動，岸上可不動。若兩艘船都在河裡，則兩艘都一定要移動。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400" w:firstLine="96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c.當船往上遊移動後，剛好與另一玩家獨木舟停在同一圓</w:t>
            </w:r>
            <w:proofErr w:type="gramStart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片時，</w:t>
            </w:r>
            <w:proofErr w:type="gramEnd"/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即可搶奪對手獨木舟上裝載的寶石。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300" w:firstLine="7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）影響天氣：若船槳卡上的圖案為雲朵，則可將雲朵指示物任意往前或往後移動一格。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ind w:firstLineChars="300" w:firstLine="7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）移動河流：河流移動的步數（就是放幾個透明圓片）等於當回合所有船槳卡中的最小數字再加減天氣表上的數字。</w:t>
            </w:r>
          </w:p>
          <w:p w:rsidR="00D47712" w:rsidRPr="00E94130" w:rsidRDefault="00D47712" w:rsidP="00973461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941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3.當玩家所有的船槳卡都用過後，才能全部拿回重新使用。</w:t>
            </w:r>
          </w:p>
          <w:p w:rsidR="00D47712" w:rsidRPr="00B2307D" w:rsidRDefault="00D47712" w:rsidP="00973461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2307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 (三)遊戲結束：</w:t>
            </w:r>
            <w:r w:rsidRPr="00B230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當某位玩家達成寶石蒐集目標((5顆不同顏色的寶石、4顆相同顏色的寶石、4顆相同顏色的寶石)的該回合完成後，遊戲即告結束。</w:t>
            </w:r>
          </w:p>
          <w:p w:rsidR="00D47712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四、分組進行遊戲</w:t>
            </w:r>
          </w:p>
          <w:p w:rsidR="00D47712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</w:p>
          <w:p w:rsidR="00D47712" w:rsidRPr="00B2307D" w:rsidRDefault="00D47712" w:rsidP="00973461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五、討論</w:t>
            </w:r>
            <w:r w:rsidRPr="00B2307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請同學們發表意見，如何贏得遊戲。</w:t>
            </w:r>
          </w:p>
        </w:tc>
        <w:tc>
          <w:tcPr>
            <w:tcW w:w="1530" w:type="dxa"/>
          </w:tcPr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影片介紹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25分鐘</w:t>
            </w:r>
          </w:p>
          <w:p w:rsidR="00D47712" w:rsidRDefault="00D47712" w:rsidP="00973461">
            <w:pPr>
              <w:jc w:val="center"/>
              <w:rPr>
                <w:rFonts w:ascii="標楷體" w:eastAsia="標楷體" w:hAnsi="標楷體"/>
              </w:rPr>
            </w:pPr>
          </w:p>
          <w:p w:rsidR="00D47712" w:rsidRPr="00863D1E" w:rsidRDefault="00D47712" w:rsidP="00973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</w:tr>
    </w:tbl>
    <w:p w:rsidR="008B4625" w:rsidRPr="00D47712" w:rsidRDefault="008B4625"/>
    <w:sectPr w:rsidR="008B4625" w:rsidRPr="00D47712" w:rsidSect="00D47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64ED"/>
    <w:multiLevelType w:val="hybridMultilevel"/>
    <w:tmpl w:val="F0185986"/>
    <w:lvl w:ilvl="0" w:tplc="21A62312">
      <w:start w:val="3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2"/>
    <w:rsid w:val="00184AED"/>
    <w:rsid w:val="008B4625"/>
    <w:rsid w:val="00D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1FCC"/>
  <w15:chartTrackingRefBased/>
  <w15:docId w15:val="{8E2A2BFD-8E41-49E8-8B1D-3C677E7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712"/>
    <w:pPr>
      <w:ind w:leftChars="200" w:left="480"/>
    </w:pPr>
  </w:style>
  <w:style w:type="character" w:styleId="a5">
    <w:name w:val="Strong"/>
    <w:basedOn w:val="a0"/>
    <w:uiPriority w:val="22"/>
    <w:qFormat/>
    <w:rsid w:val="00D4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2022-10-31T04:47:00Z</dcterms:created>
  <dcterms:modified xsi:type="dcterms:W3CDTF">2022-10-31T04:48:00Z</dcterms:modified>
</cp:coreProperties>
</file>