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5D" w:rsidRPr="00E84465" w:rsidRDefault="006318D8" w:rsidP="0094415D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E8446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94415D" w:rsidRPr="00E84465">
        <w:rPr>
          <w:rFonts w:ascii="標楷體" w:eastAsia="標楷體" w:hAnsi="標楷體" w:hint="eastAsia"/>
          <w:color w:val="000000" w:themeColor="text1"/>
          <w:sz w:val="28"/>
          <w:szCs w:val="28"/>
        </w:rPr>
        <w:t>基隆市</w:t>
      </w:r>
      <w:r w:rsidR="0094415D" w:rsidRPr="00E84465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百福</w:t>
      </w:r>
      <w:r w:rsidR="0094415D" w:rsidRPr="00E84465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3F47BC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="0094415D" w:rsidRPr="00E84465">
        <w:rPr>
          <w:rFonts w:ascii="標楷體" w:eastAsia="標楷體" w:hAnsi="標楷體" w:hint="eastAsia"/>
          <w:color w:val="000000" w:themeColor="text1"/>
          <w:sz w:val="28"/>
          <w:szCs w:val="28"/>
        </w:rPr>
        <w:t>學年度素養導向課程</w:t>
      </w:r>
      <w:r w:rsidR="0094415D" w:rsidRPr="00E8446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教案設計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3533"/>
      </w:tblGrid>
      <w:tr w:rsidR="004F59D6" w:rsidRPr="00E84465" w:rsidTr="00EC039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E84465" w:rsidRDefault="00F124A4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領域/科目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4A4" w:rsidRPr="00E84465" w:rsidRDefault="00EE0E35" w:rsidP="00EE0E35">
            <w:pPr>
              <w:snapToGrid w:val="0"/>
              <w:spacing w:line="5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noProof/>
                <w:color w:val="000000" w:themeColor="text1"/>
              </w:rPr>
              <w:t>藝文領域</w:t>
            </w:r>
            <w:r w:rsidR="004345F6"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/視覺藝術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E84465" w:rsidRDefault="00F124A4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設計者</w:t>
            </w:r>
          </w:p>
        </w:tc>
        <w:tc>
          <w:tcPr>
            <w:tcW w:w="353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37209" w:rsidRPr="00E84465" w:rsidRDefault="00AB6F13" w:rsidP="006D432F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noProof/>
                <w:color w:val="000000" w:themeColor="text1"/>
              </w:rPr>
              <w:t>吳鎮中</w:t>
            </w:r>
            <w:r w:rsidR="006D432F" w:rsidRPr="00E84465">
              <w:rPr>
                <w:rFonts w:ascii="標楷體" w:eastAsia="標楷體" w:hAnsi="標楷體"/>
                <w:noProof/>
                <w:color w:val="000000" w:themeColor="text1"/>
              </w:rPr>
              <w:t xml:space="preserve"> </w:t>
            </w:r>
          </w:p>
        </w:tc>
      </w:tr>
      <w:tr w:rsidR="004F59D6" w:rsidRPr="00E84465" w:rsidTr="00CF56C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E84465" w:rsidRDefault="00F124A4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實施年級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F124A4" w:rsidRPr="00E84465" w:rsidRDefault="00AD0396" w:rsidP="000A27E1">
            <w:pPr>
              <w:snapToGrid w:val="0"/>
              <w:spacing w:line="5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八</w:t>
            </w:r>
            <w:r w:rsidR="00637209" w:rsidRPr="00E84465">
              <w:rPr>
                <w:rFonts w:ascii="標楷體" w:eastAsia="標楷體" w:hAnsi="標楷體" w:hint="eastAsia"/>
                <w:noProof/>
                <w:color w:val="000000" w:themeColor="text1"/>
                <w:lang w:eastAsia="zh-HK"/>
              </w:rPr>
              <w:t>年級</w:t>
            </w: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124A4" w:rsidRPr="00E84465" w:rsidRDefault="00F124A4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總節數</w:t>
            </w:r>
          </w:p>
        </w:tc>
        <w:tc>
          <w:tcPr>
            <w:tcW w:w="3533" w:type="dxa"/>
            <w:tcBorders>
              <w:left w:val="single" w:sz="4" w:space="0" w:color="auto"/>
              <w:bottom w:val="single" w:sz="4" w:space="0" w:color="000000"/>
            </w:tcBorders>
          </w:tcPr>
          <w:p w:rsidR="00F124A4" w:rsidRPr="00E84465" w:rsidRDefault="00E84465" w:rsidP="000A27E1">
            <w:pPr>
              <w:snapToGrid w:val="0"/>
              <w:spacing w:line="5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</w:rPr>
              <w:t>45</w:t>
            </w:r>
            <w:r w:rsidR="00F124A4" w:rsidRPr="00E84465">
              <w:rPr>
                <w:rFonts w:ascii="標楷體" w:eastAsia="標楷體" w:hAnsi="標楷體" w:hint="eastAsia"/>
                <w:noProof/>
                <w:color w:val="000000" w:themeColor="text1"/>
              </w:rPr>
              <w:t>分鐘</w:t>
            </w:r>
          </w:p>
        </w:tc>
      </w:tr>
      <w:tr w:rsidR="004F59D6" w:rsidRPr="00E84465" w:rsidTr="00CF56CC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E84465" w:rsidRDefault="00F124A4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F124A4" w:rsidRPr="0002538C" w:rsidRDefault="0002538C" w:rsidP="0002538C">
            <w:pPr>
              <w:spacing w:line="500" w:lineRule="exact"/>
              <w:ind w:leftChars="-150" w:left="-360"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水</w:t>
            </w:r>
            <w:r w:rsidR="00F05C2E">
              <w:rPr>
                <w:rFonts w:ascii="標楷體" w:eastAsia="標楷體" w:hAnsi="標楷體" w:hint="eastAsia"/>
                <w:u w:val="single"/>
              </w:rPr>
              <w:t>水墨的經典與創新</w:t>
            </w:r>
          </w:p>
        </w:tc>
      </w:tr>
      <w:tr w:rsidR="004F59D6" w:rsidRPr="00E84465" w:rsidTr="00CF56CC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124A4" w:rsidRPr="00E84465" w:rsidRDefault="00F124A4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/>
                <w:b/>
                <w:noProof/>
                <w:color w:val="000000" w:themeColor="text1"/>
              </w:rPr>
              <w:t>設計依據</w:t>
            </w:r>
          </w:p>
        </w:tc>
      </w:tr>
      <w:tr w:rsidR="00281ECC" w:rsidRPr="00E84465" w:rsidTr="00CF56CC">
        <w:trPr>
          <w:trHeight w:val="4594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81ECC" w:rsidRPr="00E84465" w:rsidRDefault="00281ECC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學習</w:t>
            </w:r>
          </w:p>
          <w:p w:rsidR="00281ECC" w:rsidRPr="00E84465" w:rsidRDefault="00281ECC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重點</w:t>
            </w:r>
          </w:p>
        </w:tc>
        <w:tc>
          <w:tcPr>
            <w:tcW w:w="1178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ECC" w:rsidRPr="00E84465" w:rsidRDefault="00281ECC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學習表現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0" w:rsidRPr="00E84465" w:rsidRDefault="00781E10" w:rsidP="00781E10">
            <w:pPr>
              <w:snapToGrid w:val="0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E84465">
              <w:rPr>
                <w:rFonts w:ascii="標楷體" w:eastAsia="標楷體" w:hAnsi="標楷體" w:cs="Times New Roman" w:hint="eastAsia"/>
                <w:noProof/>
                <w:szCs w:val="24"/>
              </w:rPr>
              <w:t>視1-Ⅳ-2</w:t>
            </w:r>
            <w:r w:rsidRPr="00E84465">
              <w:rPr>
                <w:rFonts w:ascii="標楷體" w:eastAsia="標楷體" w:hAnsi="標楷體" w:cs="Times New Roman"/>
                <w:noProof/>
                <w:szCs w:val="24"/>
              </w:rPr>
              <w:t>:</w:t>
            </w:r>
            <w:r w:rsidRPr="00E84465">
              <w:rPr>
                <w:rFonts w:ascii="標楷體" w:eastAsia="標楷體" w:hAnsi="標楷體" w:cs="Times New Roman" w:hint="eastAsia"/>
                <w:noProof/>
                <w:szCs w:val="24"/>
              </w:rPr>
              <w:t>能使用多元媒材與技法，表現個人或社群的觀點。</w:t>
            </w:r>
          </w:p>
          <w:p w:rsidR="00781E10" w:rsidRPr="00E84465" w:rsidRDefault="00781E10" w:rsidP="00781E10">
            <w:pPr>
              <w:snapToGrid w:val="0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E84465">
              <w:rPr>
                <w:rFonts w:ascii="標楷體" w:eastAsia="標楷體" w:hAnsi="標楷體" w:cs="Times New Roman" w:hint="eastAsia"/>
                <w:noProof/>
                <w:szCs w:val="24"/>
              </w:rPr>
              <w:t>視2-Ⅳ-1</w:t>
            </w:r>
            <w:r w:rsidRPr="00E84465">
              <w:rPr>
                <w:rFonts w:ascii="標楷體" w:eastAsia="標楷體" w:hAnsi="標楷體" w:cs="Times New Roman"/>
                <w:noProof/>
                <w:szCs w:val="24"/>
              </w:rPr>
              <w:t>:</w:t>
            </w:r>
            <w:r w:rsidRPr="00E84465">
              <w:rPr>
                <w:rFonts w:ascii="標楷體" w:eastAsia="標楷體" w:hAnsi="標楷體" w:cs="Times New Roman" w:hint="eastAsia"/>
                <w:noProof/>
                <w:szCs w:val="24"/>
              </w:rPr>
              <w:t>能體驗藝術作品，並接受多元的觀點。</w:t>
            </w:r>
          </w:p>
          <w:p w:rsidR="00281ECC" w:rsidRPr="00E84465" w:rsidRDefault="00281ECC" w:rsidP="00781E10">
            <w:pPr>
              <w:snapToGrid w:val="0"/>
              <w:spacing w:line="5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ECC" w:rsidRPr="00E84465" w:rsidRDefault="00281ECC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核心</w:t>
            </w:r>
          </w:p>
          <w:p w:rsidR="00281ECC" w:rsidRPr="00E84465" w:rsidRDefault="00281ECC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素養</w:t>
            </w:r>
          </w:p>
        </w:tc>
        <w:tc>
          <w:tcPr>
            <w:tcW w:w="37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781E10" w:rsidRPr="00E84465" w:rsidRDefault="00781E10" w:rsidP="00781E10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E84465">
              <w:rPr>
                <w:rFonts w:ascii="標楷體" w:eastAsia="標楷體" w:hAnsi="標楷體" w:cs="Times New Roman" w:hint="eastAsia"/>
                <w:noProof/>
                <w:color w:val="000000"/>
              </w:rPr>
              <w:t>藝-J-B1:應用藝術符號，以表達觀點與風格。</w:t>
            </w:r>
          </w:p>
          <w:p w:rsidR="0045639E" w:rsidRPr="00E84465" w:rsidRDefault="0045639E" w:rsidP="00781E10">
            <w:pPr>
              <w:snapToGrid w:val="0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</w:tr>
      <w:tr w:rsidR="00281ECC" w:rsidRPr="00E84465" w:rsidTr="00CF56CC">
        <w:trPr>
          <w:trHeight w:val="3910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81ECC" w:rsidRPr="00E84465" w:rsidRDefault="00281ECC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ECC" w:rsidRPr="00E84465" w:rsidRDefault="00281ECC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cs="Times New Roman"/>
                <w:b/>
                <w:noProof/>
                <w:sz w:val="22"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1ECC" w:rsidRPr="00E84465" w:rsidRDefault="00281ECC" w:rsidP="00281ECC">
            <w:pPr>
              <w:snapToGrid w:val="0"/>
              <w:rPr>
                <w:rFonts w:ascii="標楷體" w:eastAsia="標楷體" w:hAnsi="標楷體" w:cs="Times New Roman"/>
                <w:noProof/>
                <w:color w:val="000000" w:themeColor="text1"/>
                <w:szCs w:val="24"/>
              </w:rPr>
            </w:pPr>
            <w:r w:rsidRPr="00E84465">
              <w:rPr>
                <w:rFonts w:ascii="標楷體" w:eastAsia="標楷體" w:hAnsi="標楷體" w:cs="Times New Roman" w:hint="eastAsia"/>
                <w:noProof/>
                <w:color w:val="000000" w:themeColor="text1"/>
                <w:szCs w:val="24"/>
              </w:rPr>
              <w:t>視E-Ⅳ-2:平面媒材的表現技法。</w:t>
            </w:r>
          </w:p>
          <w:p w:rsidR="00281ECC" w:rsidRPr="00E84465" w:rsidRDefault="00281ECC" w:rsidP="00281ECC">
            <w:pPr>
              <w:snapToGrid w:val="0"/>
              <w:rPr>
                <w:rFonts w:ascii="標楷體" w:eastAsia="標楷體" w:hAnsi="標楷體" w:cs="Times New Roman"/>
                <w:noProof/>
                <w:color w:val="000000" w:themeColor="text1"/>
                <w:szCs w:val="24"/>
              </w:rPr>
            </w:pPr>
            <w:r w:rsidRPr="00E84465">
              <w:rPr>
                <w:rFonts w:ascii="標楷體" w:eastAsia="標楷體" w:hAnsi="標楷體" w:cs="Times New Roman" w:hint="eastAsia"/>
                <w:noProof/>
                <w:color w:val="000000" w:themeColor="text1"/>
                <w:szCs w:val="24"/>
              </w:rPr>
              <w:t>視A-Ⅳ-2</w:t>
            </w:r>
            <w:r w:rsidRPr="00E84465">
              <w:rPr>
                <w:rFonts w:ascii="標楷體" w:eastAsia="標楷體" w:hAnsi="標楷體" w:cs="Times New Roman"/>
                <w:noProof/>
                <w:color w:val="000000" w:themeColor="text1"/>
                <w:szCs w:val="24"/>
              </w:rPr>
              <w:t>:</w:t>
            </w:r>
            <w:r w:rsidRPr="00E84465">
              <w:rPr>
                <w:rFonts w:ascii="標楷體" w:eastAsia="標楷體" w:hAnsi="標楷體" w:cs="Times New Roman" w:hint="eastAsia"/>
                <w:noProof/>
                <w:color w:val="000000" w:themeColor="text1"/>
                <w:szCs w:val="24"/>
              </w:rPr>
              <w:t>傳統藝術</w:t>
            </w:r>
          </w:p>
          <w:p w:rsidR="00281ECC" w:rsidRPr="00E84465" w:rsidRDefault="00281ECC" w:rsidP="00281ECC">
            <w:pPr>
              <w:snapToGrid w:val="0"/>
              <w:rPr>
                <w:rFonts w:ascii="標楷體" w:eastAsia="標楷體" w:hAnsi="標楷體" w:cs="Times New Roman"/>
                <w:noProof/>
                <w:szCs w:val="24"/>
              </w:rPr>
            </w:pPr>
            <w:r w:rsidRPr="00E84465">
              <w:rPr>
                <w:rFonts w:ascii="標楷體" w:eastAsia="標楷體" w:hAnsi="標楷體" w:cs="Times New Roman" w:hint="eastAsia"/>
                <w:noProof/>
                <w:color w:val="000000" w:themeColor="text1"/>
                <w:szCs w:val="24"/>
              </w:rPr>
              <w:t>視P-Ⅳ-3</w:t>
            </w:r>
            <w:r w:rsidRPr="00E84465">
              <w:rPr>
                <w:rFonts w:ascii="標楷體" w:eastAsia="標楷體" w:hAnsi="標楷體" w:cs="Times New Roman"/>
                <w:noProof/>
                <w:color w:val="000000" w:themeColor="text1"/>
                <w:szCs w:val="24"/>
              </w:rPr>
              <w:t>:</w:t>
            </w:r>
            <w:r w:rsidRPr="00E84465">
              <w:rPr>
                <w:rFonts w:ascii="標楷體" w:eastAsia="標楷體" w:hAnsi="標楷體" w:cs="Times New Roman" w:hint="eastAsia"/>
                <w:noProof/>
                <w:color w:val="000000" w:themeColor="text1"/>
                <w:szCs w:val="24"/>
              </w:rPr>
              <w:t>設計思考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1ECC" w:rsidRPr="00E84465" w:rsidRDefault="00281ECC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3744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281ECC" w:rsidRPr="00E84465" w:rsidRDefault="00281ECC" w:rsidP="00EE0E35">
            <w:pPr>
              <w:snapToGrid w:val="0"/>
              <w:spacing w:line="5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</w:p>
        </w:tc>
      </w:tr>
      <w:tr w:rsidR="004F59D6" w:rsidRPr="00E84465" w:rsidTr="00CF56CC">
        <w:trPr>
          <w:trHeight w:val="330"/>
          <w:jc w:val="center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498D" w:rsidRPr="00E84465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議題</w:t>
            </w:r>
          </w:p>
          <w:p w:rsidR="0044498D" w:rsidRPr="00E84465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4498D" w:rsidRPr="00E84465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實質內涵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4498D" w:rsidRPr="00E84465" w:rsidRDefault="00A41D36" w:rsidP="000A27E1">
            <w:pPr>
              <w:snapToGrid w:val="0"/>
              <w:spacing w:line="5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noProof/>
                <w:color w:val="000000" w:themeColor="text1"/>
              </w:rPr>
              <w:t>生涯發展</w:t>
            </w:r>
            <w:r w:rsidR="00EC039B" w:rsidRPr="00E84465">
              <w:rPr>
                <w:rFonts w:ascii="標楷體" w:eastAsia="標楷體" w:hAnsi="標楷體" w:hint="eastAsia"/>
                <w:noProof/>
                <w:color w:val="000000" w:themeColor="text1"/>
              </w:rPr>
              <w:t>教育</w:t>
            </w:r>
          </w:p>
        </w:tc>
      </w:tr>
      <w:tr w:rsidR="004F59D6" w:rsidRPr="00E84465" w:rsidTr="00CF56CC">
        <w:trPr>
          <w:trHeight w:val="375"/>
          <w:jc w:val="center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4498D" w:rsidRPr="00E84465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4498D" w:rsidRPr="00E84465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/>
                <w:b/>
                <w:noProof/>
                <w:color w:val="000000" w:themeColor="text1"/>
              </w:rPr>
              <w:t>所融入之</w:t>
            </w: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學習重點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</w:tcBorders>
          </w:tcPr>
          <w:p w:rsidR="00B03225" w:rsidRPr="00E84465" w:rsidRDefault="00043074" w:rsidP="00043074">
            <w:pPr>
              <w:spacing w:line="340" w:lineRule="exact"/>
              <w:rPr>
                <w:rFonts w:ascii="標楷體" w:eastAsia="標楷體" w:hAnsi="標楷體"/>
              </w:rPr>
            </w:pPr>
            <w:r w:rsidRPr="00E84465">
              <w:rPr>
                <w:rFonts w:ascii="標楷體" w:eastAsia="標楷體" w:hAnsi="標楷體"/>
                <w:shd w:val="clear" w:color="auto" w:fill="FFFFFF"/>
              </w:rPr>
              <w:t>選擇適合自己的性向、興趣與能力的藝術活動，繼續學習。</w:t>
            </w:r>
          </w:p>
        </w:tc>
      </w:tr>
      <w:tr w:rsidR="004F59D6" w:rsidRPr="00E84465" w:rsidTr="000A27E1">
        <w:trPr>
          <w:trHeight w:val="70"/>
          <w:jc w:val="center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44498D" w:rsidRPr="00E84465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與其他領域/科目的連結</w:t>
            </w:r>
          </w:p>
        </w:tc>
        <w:tc>
          <w:tcPr>
            <w:tcW w:w="8234" w:type="dxa"/>
            <w:gridSpan w:val="5"/>
            <w:tcBorders>
              <w:bottom w:val="single" w:sz="4" w:space="0" w:color="auto"/>
            </w:tcBorders>
            <w:vAlign w:val="center"/>
          </w:tcPr>
          <w:p w:rsidR="0044498D" w:rsidRPr="00E84465" w:rsidRDefault="004C5CAC" w:rsidP="004C5CAC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noProof/>
                <w:color w:val="000000" w:themeColor="text1"/>
                <w:szCs w:val="24"/>
              </w:rPr>
              <w:t>翰林出版社</w:t>
            </w:r>
          </w:p>
        </w:tc>
      </w:tr>
      <w:tr w:rsidR="004F59D6" w:rsidRPr="00E84465" w:rsidTr="00CF56CC">
        <w:trPr>
          <w:trHeight w:val="50"/>
          <w:jc w:val="center"/>
        </w:trPr>
        <w:tc>
          <w:tcPr>
            <w:tcW w:w="204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44498D" w:rsidRPr="00E84465" w:rsidRDefault="0044498D" w:rsidP="000A27E1">
            <w:pPr>
              <w:snapToGrid w:val="0"/>
              <w:spacing w:line="500" w:lineRule="exact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lastRenderedPageBreak/>
              <w:t>教材來源</w:t>
            </w:r>
          </w:p>
        </w:tc>
        <w:tc>
          <w:tcPr>
            <w:tcW w:w="8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44498D" w:rsidRPr="00E84465" w:rsidRDefault="00AD0396" w:rsidP="00EE0E35">
            <w:pPr>
              <w:snapToGrid w:val="0"/>
              <w:spacing w:line="500" w:lineRule="exact"/>
              <w:rPr>
                <w:rFonts w:ascii="標楷體" w:eastAsia="標楷體" w:hAnsi="標楷體"/>
                <w:noProof/>
                <w:color w:val="000000" w:themeColor="text1"/>
              </w:rPr>
            </w:pPr>
            <w:r>
              <w:rPr>
                <w:rFonts w:ascii="標楷體" w:eastAsia="標楷體" w:hAnsi="標楷體" w:hint="eastAsia"/>
                <w:szCs w:val="24"/>
              </w:rPr>
              <w:t>國中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="00A41D36" w:rsidRPr="00E84465">
              <w:rPr>
                <w:rFonts w:ascii="標楷體" w:eastAsia="標楷體" w:hAnsi="標楷體" w:hint="eastAsia"/>
                <w:szCs w:val="24"/>
              </w:rPr>
              <w:t>年級</w:t>
            </w:r>
            <w:r w:rsidR="00EE0E35" w:rsidRPr="00E84465">
              <w:rPr>
                <w:rFonts w:ascii="標楷體" w:eastAsia="標楷體" w:hAnsi="標楷體" w:hint="eastAsia"/>
                <w:szCs w:val="24"/>
              </w:rPr>
              <w:t>藝術與人文</w:t>
            </w:r>
            <w:r w:rsidR="000A27E1" w:rsidRPr="00E84465">
              <w:rPr>
                <w:rFonts w:ascii="標楷體" w:eastAsia="標楷體" w:hAnsi="標楷體" w:hint="eastAsia"/>
                <w:szCs w:val="24"/>
              </w:rPr>
              <w:t>備課用書</w:t>
            </w:r>
          </w:p>
        </w:tc>
      </w:tr>
      <w:tr w:rsidR="004F59D6" w:rsidRPr="00E84465" w:rsidTr="00CF56CC">
        <w:trPr>
          <w:trHeight w:val="70"/>
          <w:jc w:val="center"/>
        </w:trPr>
        <w:tc>
          <w:tcPr>
            <w:tcW w:w="2041" w:type="dxa"/>
            <w:gridSpan w:val="3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44498D" w:rsidRPr="00E84465" w:rsidRDefault="0044498D" w:rsidP="000A27E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教學設備/資源</w:t>
            </w:r>
          </w:p>
        </w:tc>
        <w:tc>
          <w:tcPr>
            <w:tcW w:w="82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F7835" w:rsidRPr="00E84465" w:rsidRDefault="0045639E" w:rsidP="000A27E1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noProof/>
                <w:color w:val="000000" w:themeColor="text1"/>
              </w:rPr>
              <w:t>課本、</w:t>
            </w:r>
            <w:r w:rsidR="0094415D" w:rsidRPr="00E84465">
              <w:rPr>
                <w:rFonts w:ascii="標楷體" w:eastAsia="標楷體" w:hAnsi="標楷體" w:hint="eastAsia"/>
                <w:noProof/>
                <w:color w:val="000000" w:themeColor="text1"/>
              </w:rPr>
              <w:t>科技資訊教育</w:t>
            </w:r>
          </w:p>
        </w:tc>
      </w:tr>
      <w:tr w:rsidR="004F59D6" w:rsidRPr="00E84465" w:rsidTr="00CF56CC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44498D" w:rsidRPr="00E84465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學習目標</w:t>
            </w:r>
          </w:p>
        </w:tc>
      </w:tr>
      <w:tr w:rsidR="004F59D6" w:rsidRPr="00E84465" w:rsidTr="00843AC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D728B" w:rsidRPr="00E84465" w:rsidRDefault="00AD728B" w:rsidP="00AD728B">
            <w:pPr>
              <w:pStyle w:val="a3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noProof/>
                <w:color w:val="000000" w:themeColor="text1"/>
                <w:szCs w:val="24"/>
              </w:rPr>
            </w:pPr>
            <w:r w:rsidRPr="00E84465">
              <w:rPr>
                <w:rFonts w:ascii="標楷體" w:eastAsia="標楷體" w:hAnsi="標楷體" w:cs="Times New Roman" w:hint="eastAsia"/>
                <w:noProof/>
                <w:color w:val="000000" w:themeColor="text1"/>
                <w:szCs w:val="24"/>
              </w:rPr>
              <w:t>學生能使用平面媒材進行創作，表現個人觀點。</w:t>
            </w:r>
          </w:p>
          <w:p w:rsidR="00AD728B" w:rsidRPr="00E84465" w:rsidRDefault="00AD728B" w:rsidP="00AD728B">
            <w:pPr>
              <w:pStyle w:val="a3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noProof/>
                <w:color w:val="000000" w:themeColor="text1"/>
                <w:szCs w:val="24"/>
              </w:rPr>
            </w:pPr>
            <w:r w:rsidRPr="00E84465">
              <w:rPr>
                <w:rFonts w:ascii="標楷體" w:eastAsia="標楷體" w:hAnsi="標楷體" w:cs="Times New Roman" w:hint="eastAsia"/>
                <w:noProof/>
                <w:color w:val="000000" w:themeColor="text1"/>
                <w:szCs w:val="24"/>
              </w:rPr>
              <w:t>學生能了解傳統藝術，體驗多元的藝術觀點與創作手法。</w:t>
            </w:r>
          </w:p>
          <w:p w:rsidR="0044498D" w:rsidRPr="00E84465" w:rsidRDefault="00AD728B" w:rsidP="00CC2C7E">
            <w:pPr>
              <w:pStyle w:val="a3"/>
              <w:numPr>
                <w:ilvl w:val="0"/>
                <w:numId w:val="6"/>
              </w:numPr>
              <w:snapToGrid w:val="0"/>
              <w:ind w:leftChars="0"/>
              <w:jc w:val="both"/>
              <w:rPr>
                <w:rFonts w:ascii="標楷體" w:eastAsia="標楷體" w:hAnsi="標楷體" w:cs="Times New Roman"/>
                <w:noProof/>
                <w:color w:val="000000" w:themeColor="text1"/>
                <w:szCs w:val="24"/>
              </w:rPr>
            </w:pPr>
            <w:r w:rsidRPr="00E84465">
              <w:rPr>
                <w:rFonts w:ascii="標楷體" w:eastAsia="標楷體" w:hAnsi="標楷體" w:cs="Times New Roman" w:hint="eastAsia"/>
                <w:noProof/>
                <w:color w:val="000000" w:themeColor="text1"/>
                <w:szCs w:val="24"/>
              </w:rPr>
              <w:t>學生能應用設計思考及藝術知能，提出行動方案，因應各式情境尋求解決方案。</w:t>
            </w:r>
          </w:p>
          <w:p w:rsidR="00CC2C7E" w:rsidRPr="00E84465" w:rsidRDefault="00043074" w:rsidP="00CC2C7E">
            <w:pPr>
              <w:spacing w:line="34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E84465">
              <w:rPr>
                <w:rFonts w:ascii="標楷體" w:eastAsia="標楷體" w:hAnsi="標楷體" w:hint="eastAsia"/>
                <w:shd w:val="clear" w:color="auto" w:fill="FFFFFF"/>
              </w:rPr>
              <w:t>四、</w:t>
            </w:r>
            <w:r w:rsidR="00CC2C7E" w:rsidRPr="00E84465">
              <w:rPr>
                <w:rFonts w:ascii="標楷體" w:eastAsia="標楷體" w:hAnsi="標楷體"/>
                <w:shd w:val="clear" w:color="auto" w:fill="FFFFFF"/>
              </w:rPr>
              <w:t>了解藝術創作與社會文化的關係，表現獨立的思考能力，嘗試多元的藝術創作。</w:t>
            </w:r>
          </w:p>
          <w:p w:rsidR="00CC2C7E" w:rsidRPr="00E84465" w:rsidRDefault="00043074" w:rsidP="00CC2C7E">
            <w:pPr>
              <w:spacing w:line="340" w:lineRule="exact"/>
              <w:rPr>
                <w:rFonts w:ascii="標楷體" w:eastAsia="標楷體" w:hAnsi="標楷體"/>
              </w:rPr>
            </w:pPr>
            <w:r w:rsidRPr="00E84465">
              <w:rPr>
                <w:rFonts w:ascii="標楷體" w:eastAsia="標楷體" w:hAnsi="標楷體" w:hint="eastAsia"/>
              </w:rPr>
              <w:t>五、</w:t>
            </w:r>
            <w:r w:rsidR="00CC2C7E" w:rsidRPr="00E84465">
              <w:rPr>
                <w:rFonts w:ascii="標楷體" w:eastAsia="標楷體" w:hAnsi="標楷體"/>
                <w:shd w:val="clear" w:color="auto" w:fill="FFFFFF"/>
              </w:rPr>
              <w:t>選擇適合自己的性向、興趣與能力的藝術活動，繼續學習。</w:t>
            </w:r>
          </w:p>
          <w:p w:rsidR="00CC2C7E" w:rsidRPr="00E84465" w:rsidRDefault="00CC2C7E" w:rsidP="00043074">
            <w:pPr>
              <w:pStyle w:val="a3"/>
              <w:snapToGrid w:val="0"/>
              <w:ind w:leftChars="0"/>
              <w:jc w:val="both"/>
              <w:rPr>
                <w:rFonts w:ascii="標楷體" w:eastAsia="標楷體" w:hAnsi="標楷體" w:cs="Times New Roman"/>
                <w:noProof/>
                <w:color w:val="000000" w:themeColor="text1"/>
                <w:szCs w:val="24"/>
              </w:rPr>
            </w:pPr>
          </w:p>
        </w:tc>
      </w:tr>
      <w:tr w:rsidR="004F59D6" w:rsidRPr="00E84465" w:rsidTr="00843AC7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498D" w:rsidRPr="00E84465" w:rsidRDefault="0044498D" w:rsidP="000A27E1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noProof/>
                <w:color w:val="000000" w:themeColor="text1"/>
              </w:rPr>
              <w:t>單元主題說明</w:t>
            </w:r>
          </w:p>
        </w:tc>
      </w:tr>
      <w:tr w:rsidR="004F59D6" w:rsidRPr="00E84465" w:rsidTr="00CF56C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02538C" w:rsidRPr="00585CBD" w:rsidRDefault="0002538C" w:rsidP="0002538C">
            <w:pPr>
              <w:spacing w:line="500" w:lineRule="exact"/>
              <w:ind w:leftChars="-150" w:left="-360" w:rightChars="-214" w:right="-514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水水墨的經典與創新</w:t>
            </w:r>
          </w:p>
          <w:p w:rsidR="0044498D" w:rsidRPr="00E84465" w:rsidRDefault="0044498D" w:rsidP="0002538C">
            <w:pPr>
              <w:rPr>
                <w:rFonts w:ascii="標楷體" w:eastAsia="標楷體" w:hAnsi="標楷體"/>
              </w:rPr>
            </w:pPr>
          </w:p>
        </w:tc>
      </w:tr>
    </w:tbl>
    <w:p w:rsidR="00CF56CC" w:rsidRPr="00E84465" w:rsidRDefault="00CF56CC" w:rsidP="00F124A4">
      <w:pPr>
        <w:rPr>
          <w:rFonts w:ascii="標楷體" w:eastAsia="標楷體" w:hAnsi="標楷體"/>
          <w:color w:val="000000" w:themeColor="text1"/>
        </w:rPr>
      </w:pP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4"/>
        <w:gridCol w:w="880"/>
        <w:gridCol w:w="2861"/>
      </w:tblGrid>
      <w:tr w:rsidR="004F59D6" w:rsidRPr="00E84465" w:rsidTr="00CF56CC">
        <w:trPr>
          <w:trHeight w:val="50"/>
          <w:jc w:val="center"/>
        </w:trPr>
        <w:tc>
          <w:tcPr>
            <w:tcW w:w="1027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F124A4" w:rsidRPr="00E84465" w:rsidRDefault="00F124A4" w:rsidP="00CF56C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教學活動設計</w:t>
            </w:r>
          </w:p>
        </w:tc>
      </w:tr>
      <w:tr w:rsidR="004F59D6" w:rsidRPr="00E84465" w:rsidTr="00CF56CC">
        <w:trPr>
          <w:trHeight w:val="70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24A4" w:rsidRPr="00E84465" w:rsidRDefault="00F124A4" w:rsidP="00CF56C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教學活動內容及實施方式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24A4" w:rsidRPr="00E84465" w:rsidRDefault="00F124A4" w:rsidP="00CF56C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時間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124A4" w:rsidRPr="00E84465" w:rsidRDefault="00F124A4" w:rsidP="00CF56C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</w:rPr>
            </w:pPr>
            <w:r w:rsidRPr="00E84465">
              <w:rPr>
                <w:rFonts w:ascii="標楷體" w:eastAsia="標楷體" w:hAnsi="標楷體" w:hint="eastAsia"/>
                <w:b/>
                <w:noProof/>
                <w:color w:val="000000" w:themeColor="text1"/>
              </w:rPr>
              <w:t>備註</w:t>
            </w:r>
          </w:p>
        </w:tc>
      </w:tr>
      <w:tr w:rsidR="00043074" w:rsidRPr="00E84465" w:rsidTr="00546784">
        <w:trPr>
          <w:trHeight w:val="1124"/>
          <w:jc w:val="center"/>
        </w:trPr>
        <w:tc>
          <w:tcPr>
            <w:tcW w:w="65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43074" w:rsidRPr="00E84465" w:rsidRDefault="00043074" w:rsidP="00CF56CC">
            <w:pPr>
              <w:widowControl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E84465">
              <w:rPr>
                <w:rFonts w:ascii="標楷體" w:eastAsia="標楷體" w:hAnsi="標楷體"/>
                <w:bCs/>
                <w:kern w:val="0"/>
                <w:sz w:val="28"/>
                <w:szCs w:val="28"/>
                <w:bdr w:val="single" w:sz="4" w:space="0" w:color="auto"/>
              </w:rPr>
              <w:t>第1節課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4"/>
                <w:szCs w:val="24"/>
                <w:bdr w:val="single" w:sz="4" w:space="0" w:color="auto"/>
                <w:shd w:val="pct15" w:color="auto" w:fill="FFFFFF"/>
              </w:rPr>
            </w:pPr>
            <w:r w:rsidRPr="00E84465">
              <w:rPr>
                <w:rFonts w:ascii="標楷體" w:hAnsi="標楷體" w:hint="eastAsia"/>
                <w:noProof/>
                <w:bdr w:val="single" w:sz="4" w:space="0" w:color="auto"/>
                <w:shd w:val="pct15" w:color="auto" w:fill="FFFFFF"/>
              </w:rPr>
              <w:t>單</w:t>
            </w:r>
            <w:r w:rsidRPr="00E84465">
              <w:rPr>
                <w:rFonts w:ascii="標楷體" w:hAnsi="標楷體" w:hint="eastAsia"/>
                <w:noProof/>
                <w:sz w:val="24"/>
                <w:szCs w:val="24"/>
                <w:bdr w:val="single" w:sz="4" w:space="0" w:color="auto"/>
                <w:shd w:val="pct15" w:color="auto" w:fill="FFFFFF"/>
              </w:rPr>
              <w:t>元一:走進水墨畫的世界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>（一）準備活動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>教師展示水墨畫</w:t>
            </w:r>
            <w:r w:rsidR="00E84465">
              <w:rPr>
                <w:rFonts w:ascii="標楷體" w:hAnsi="標楷體" w:hint="eastAsia"/>
                <w:noProof/>
                <w:sz w:val="22"/>
              </w:rPr>
              <w:t>所需使用</w:t>
            </w:r>
            <w:r w:rsidRPr="00E84465">
              <w:rPr>
                <w:rFonts w:ascii="標楷體" w:hAnsi="標楷體" w:hint="eastAsia"/>
                <w:noProof/>
                <w:sz w:val="22"/>
              </w:rPr>
              <w:t>工具，並</w:t>
            </w:r>
            <w:r w:rsidR="00E84465">
              <w:rPr>
                <w:rFonts w:ascii="標楷體" w:hAnsi="標楷體" w:hint="eastAsia"/>
                <w:noProof/>
                <w:sz w:val="22"/>
              </w:rPr>
              <w:t>引導</w:t>
            </w:r>
            <w:r w:rsidRPr="00E84465">
              <w:rPr>
                <w:rFonts w:ascii="標楷體" w:hAnsi="標楷體" w:hint="eastAsia"/>
                <w:noProof/>
                <w:sz w:val="22"/>
              </w:rPr>
              <w:t>學生想一想與寫</w:t>
            </w:r>
            <w:r w:rsidR="00E84465">
              <w:rPr>
                <w:rFonts w:ascii="標楷體" w:hAnsi="標楷體" w:hint="eastAsia"/>
                <w:noProof/>
                <w:sz w:val="22"/>
              </w:rPr>
              <w:t>小學</w:t>
            </w:r>
            <w:r w:rsidRPr="00E84465">
              <w:rPr>
                <w:rFonts w:ascii="標楷體" w:hAnsi="標楷體" w:hint="eastAsia"/>
                <w:noProof/>
                <w:sz w:val="22"/>
              </w:rPr>
              <w:t>書法的工具有什麼異同。教師準備和教材相關的powerpoint教學檔案與學習單。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>（二）發展活動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>1</w:t>
            </w:r>
            <w:r w:rsidRPr="00E84465">
              <w:rPr>
                <w:rFonts w:ascii="標楷體" w:hAnsi="標楷體"/>
                <w:noProof/>
                <w:sz w:val="22"/>
              </w:rPr>
              <w:t>.</w:t>
            </w:r>
            <w:r w:rsidRPr="00E84465">
              <w:rPr>
                <w:rFonts w:ascii="標楷體" w:hAnsi="標楷體" w:hint="eastAsia"/>
                <w:noProof/>
                <w:sz w:val="22"/>
              </w:rPr>
              <w:t>教師以相關影片搭配「筆情與墨趣」課本內容，介紹水墨畫的工具。步驟來進行學習。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>2</w:t>
            </w:r>
            <w:r w:rsidRPr="00E84465">
              <w:rPr>
                <w:rFonts w:ascii="標楷體" w:hAnsi="標楷體"/>
                <w:noProof/>
                <w:sz w:val="22"/>
              </w:rPr>
              <w:t>.</w:t>
            </w:r>
            <w:r w:rsidRPr="00E84465">
              <w:rPr>
                <w:rFonts w:ascii="標楷體" w:hAnsi="標楷體" w:hint="eastAsia"/>
                <w:noProof/>
                <w:sz w:val="22"/>
              </w:rPr>
              <w:t>介紹水墨畫的工具與材料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>(</w:t>
            </w:r>
            <w:r w:rsidRPr="00E84465">
              <w:rPr>
                <w:rFonts w:ascii="標楷體" w:hAnsi="標楷體"/>
                <w:noProof/>
                <w:sz w:val="22"/>
              </w:rPr>
              <w:t>1)</w:t>
            </w:r>
            <w:r w:rsidRPr="00E84465">
              <w:rPr>
                <w:rFonts w:ascii="標楷體" w:hAnsi="標楷體" w:hint="eastAsia"/>
                <w:noProof/>
                <w:sz w:val="22"/>
              </w:rPr>
              <w:t>筆：硬毫、軟毫、兼豪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>(</w:t>
            </w:r>
            <w:r w:rsidRPr="00E84465">
              <w:rPr>
                <w:rFonts w:ascii="標楷體" w:hAnsi="標楷體"/>
                <w:noProof/>
                <w:sz w:val="22"/>
              </w:rPr>
              <w:t>2)</w:t>
            </w:r>
            <w:r w:rsidRPr="00E84465">
              <w:rPr>
                <w:rFonts w:ascii="標楷體" w:hAnsi="標楷體" w:hint="eastAsia"/>
                <w:noProof/>
                <w:sz w:val="22"/>
              </w:rPr>
              <w:t>墨：油煙墨、漆煙墨、松煙墨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>(</w:t>
            </w:r>
            <w:r w:rsidRPr="00E84465">
              <w:rPr>
                <w:rFonts w:ascii="標楷體" w:hAnsi="標楷體"/>
                <w:noProof/>
                <w:sz w:val="22"/>
              </w:rPr>
              <w:t>3)</w:t>
            </w:r>
            <w:r w:rsidRPr="00E84465">
              <w:rPr>
                <w:rFonts w:ascii="標楷體" w:hAnsi="標楷體" w:hint="eastAsia"/>
                <w:noProof/>
                <w:sz w:val="22"/>
              </w:rPr>
              <w:t>紙：生紙與熟紙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>(</w:t>
            </w:r>
            <w:r w:rsidRPr="00E84465">
              <w:rPr>
                <w:rFonts w:ascii="標楷體" w:hAnsi="標楷體"/>
                <w:noProof/>
                <w:sz w:val="22"/>
              </w:rPr>
              <w:t>4)</w:t>
            </w:r>
            <w:r w:rsidRPr="00E84465">
              <w:rPr>
                <w:rFonts w:ascii="標楷體" w:hAnsi="標楷體" w:hint="eastAsia"/>
                <w:noProof/>
                <w:sz w:val="22"/>
              </w:rPr>
              <w:t>硯、調色盤、梅花盤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>(</w:t>
            </w:r>
            <w:r w:rsidRPr="00E84465">
              <w:rPr>
                <w:rFonts w:ascii="標楷體" w:hAnsi="標楷體"/>
                <w:noProof/>
                <w:sz w:val="22"/>
              </w:rPr>
              <w:t>5)</w:t>
            </w:r>
            <w:r w:rsidRPr="00E84465">
              <w:rPr>
                <w:rFonts w:ascii="標楷體" w:hAnsi="標楷體" w:hint="eastAsia"/>
                <w:noProof/>
                <w:sz w:val="22"/>
              </w:rPr>
              <w:t>筆洗、裝水的容器：用以洗筆，以白色瓷製為佳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/>
                <w:noProof/>
                <w:sz w:val="22"/>
              </w:rPr>
              <w:t>(6)</w:t>
            </w:r>
            <w:r w:rsidRPr="00E84465">
              <w:rPr>
                <w:rFonts w:ascii="標楷體" w:hAnsi="標楷體" w:hint="eastAsia"/>
                <w:noProof/>
                <w:sz w:val="22"/>
              </w:rPr>
              <w:t>墊布：墊在書法紙下方，避免與桌面直接接觸，髒污桌面、好的墊布是毛製品，不會吸收墨汁並可防止回滲，能使墨色完全保留於紙張上。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>(</w:t>
            </w:r>
            <w:r w:rsidRPr="00E84465">
              <w:rPr>
                <w:rFonts w:ascii="標楷體" w:hAnsi="標楷體"/>
                <w:noProof/>
                <w:sz w:val="22"/>
              </w:rPr>
              <w:t>7)</w:t>
            </w:r>
            <w:r w:rsidRPr="00E84465">
              <w:rPr>
                <w:rFonts w:ascii="標楷體" w:hAnsi="標楷體" w:hint="eastAsia"/>
                <w:noProof/>
                <w:sz w:val="22"/>
              </w:rPr>
              <w:t xml:space="preserve">顏料：植物性-花青、洋紅、藤黃 </w:t>
            </w:r>
          </w:p>
          <w:p w:rsidR="00781E10" w:rsidRPr="00E84465" w:rsidRDefault="006250A7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 xml:space="preserve">   </w:t>
            </w:r>
            <w:r w:rsidR="00781E10" w:rsidRPr="00E84465">
              <w:rPr>
                <w:rFonts w:ascii="標楷體" w:hAnsi="標楷體" w:hint="eastAsia"/>
                <w:noProof/>
                <w:sz w:val="22"/>
              </w:rPr>
              <w:t xml:space="preserve">  礦物性-赭石、朱膘  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lastRenderedPageBreak/>
              <w:t>（三）統整活動</w:t>
            </w:r>
          </w:p>
          <w:p w:rsidR="00043074" w:rsidRPr="00E84465" w:rsidRDefault="00781E10" w:rsidP="006250A7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 xml:space="preserve"> 總結今日課程，複習水墨畫的工具，並詢問學生相關的問題。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6250A7" w:rsidRPr="00E84465" w:rsidRDefault="006250A7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6250A7" w:rsidRPr="00E84465" w:rsidRDefault="006250A7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6250A7" w:rsidRPr="00E84465" w:rsidRDefault="006250A7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6250A7" w:rsidRPr="00E84465" w:rsidRDefault="006250A7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  <w:r w:rsidRPr="00E84465">
              <w:rPr>
                <w:rFonts w:ascii="標楷體" w:eastAsia="標楷體" w:hAnsi="標楷體" w:hint="eastAsia"/>
              </w:rPr>
              <w:t>5</w:t>
            </w:r>
            <w:r w:rsidRPr="00E84465">
              <w:rPr>
                <w:rFonts w:ascii="標楷體" w:eastAsia="標楷體" w:hAnsi="標楷體"/>
              </w:rPr>
              <w:t>分鐘</w:t>
            </w: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  <w:r w:rsidR="00043074" w:rsidRPr="00E84465">
              <w:rPr>
                <w:rFonts w:ascii="標楷體" w:eastAsia="標楷體" w:hAnsi="標楷體" w:hint="eastAsia"/>
              </w:rPr>
              <w:t>分鐘</w:t>
            </w: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P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043074" w:rsidRPr="00E84465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  <w:r w:rsidRPr="00E84465">
              <w:rPr>
                <w:rFonts w:ascii="標楷體" w:eastAsia="標楷體" w:hAnsi="標楷體" w:hint="eastAsia"/>
              </w:rPr>
              <w:t>簡報</w:t>
            </w:r>
            <w:r w:rsidRPr="00E84465">
              <w:rPr>
                <w:rFonts w:ascii="標楷體" w:eastAsia="標楷體" w:hAnsi="標楷體"/>
              </w:rPr>
              <w:t>P</w:t>
            </w:r>
            <w:r w:rsidRPr="00E84465">
              <w:rPr>
                <w:rFonts w:ascii="標楷體" w:eastAsia="標楷體" w:hAnsi="標楷體" w:hint="eastAsia"/>
              </w:rPr>
              <w:t>PT</w:t>
            </w:r>
          </w:p>
          <w:p w:rsidR="00043074" w:rsidRPr="00E84465" w:rsidRDefault="0045639E" w:rsidP="00CF56CC">
            <w:pPr>
              <w:spacing w:line="350" w:lineRule="exact"/>
              <w:rPr>
                <w:rFonts w:ascii="標楷體" w:eastAsia="標楷體" w:hAnsi="標楷體"/>
              </w:rPr>
            </w:pPr>
            <w:r w:rsidRPr="00E84465">
              <w:rPr>
                <w:rFonts w:ascii="標楷體" w:eastAsia="標楷體" w:hAnsi="標楷體" w:hint="eastAsia"/>
              </w:rPr>
              <w:t>＊教師給予「問題」，引導學生學習方向</w:t>
            </w: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6250A7">
            <w:pPr>
              <w:spacing w:line="350" w:lineRule="exact"/>
              <w:rPr>
                <w:rFonts w:ascii="標楷體" w:eastAsia="標楷體" w:hAnsi="標楷體"/>
              </w:rPr>
            </w:pPr>
          </w:p>
        </w:tc>
      </w:tr>
      <w:tr w:rsidR="00043074" w:rsidRPr="00E84465" w:rsidTr="00043074">
        <w:trPr>
          <w:trHeight w:val="656"/>
          <w:jc w:val="center"/>
        </w:trPr>
        <w:tc>
          <w:tcPr>
            <w:tcW w:w="6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10" w:rsidRPr="00E84465" w:rsidRDefault="00781E10" w:rsidP="00781E10">
            <w:pPr>
              <w:snapToGrid w:val="0"/>
              <w:rPr>
                <w:rFonts w:ascii="標楷體" w:eastAsia="標楷體" w:hAnsi="標楷體" w:cs="Times New Roman"/>
                <w:noProof/>
                <w:color w:val="000000" w:themeColor="text1"/>
                <w:szCs w:val="24"/>
                <w:bdr w:val="single" w:sz="4" w:space="0" w:color="auto"/>
              </w:rPr>
            </w:pPr>
          </w:p>
          <w:p w:rsidR="00781E10" w:rsidRPr="00E84465" w:rsidRDefault="00781E10" w:rsidP="00781E10">
            <w:pPr>
              <w:snapToGrid w:val="0"/>
              <w:rPr>
                <w:rFonts w:ascii="標楷體" w:eastAsia="標楷體" w:hAnsi="標楷體" w:cs="Times New Roman"/>
                <w:noProof/>
                <w:color w:val="000000" w:themeColor="text1"/>
                <w:szCs w:val="24"/>
                <w:bdr w:val="single" w:sz="4" w:space="0" w:color="auto"/>
              </w:rPr>
            </w:pPr>
            <w:r w:rsidRPr="00E84465">
              <w:rPr>
                <w:rFonts w:ascii="標楷體" w:eastAsia="標楷體" w:hAnsi="標楷體" w:cs="Times New Roman" w:hint="eastAsia"/>
                <w:noProof/>
                <w:color w:val="000000" w:themeColor="text1"/>
                <w:szCs w:val="24"/>
                <w:bdr w:val="single" w:sz="4" w:space="0" w:color="auto"/>
              </w:rPr>
              <w:t>活動二：水墨畫的特色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>（一）準備活動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>展示中國水墨作品與西方的油畫作品，讓學生思考在構圖上、技巧上或是表現方法上有什麼差異。教師準備和教材相關的powerpoint教學檔案與學習單。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>（二）發展活動</w:t>
            </w:r>
          </w:p>
          <w:p w:rsidR="00546784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>1</w:t>
            </w:r>
            <w:r w:rsidRPr="00E84465">
              <w:rPr>
                <w:rFonts w:ascii="標楷體" w:hAnsi="標楷體"/>
                <w:noProof/>
                <w:sz w:val="22"/>
              </w:rPr>
              <w:t>.</w:t>
            </w:r>
            <w:r w:rsidRPr="00E84465">
              <w:rPr>
                <w:rFonts w:ascii="標楷體" w:hAnsi="標楷體" w:hint="eastAsia"/>
                <w:noProof/>
                <w:sz w:val="22"/>
              </w:rPr>
              <w:t>教師以相關圖片搭配「筆情與墨趣」課本內容，介紹水墨畫的特色。</w:t>
            </w:r>
          </w:p>
          <w:p w:rsidR="00781E10" w:rsidRPr="00E84465" w:rsidRDefault="00781E10" w:rsidP="00781E10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>2</w:t>
            </w:r>
            <w:r w:rsidRPr="00E84465">
              <w:rPr>
                <w:rFonts w:ascii="標楷體" w:hAnsi="標楷體"/>
                <w:noProof/>
                <w:sz w:val="22"/>
              </w:rPr>
              <w:t>.</w:t>
            </w:r>
            <w:r w:rsidR="00546784">
              <w:rPr>
                <w:rFonts w:ascii="標楷體" w:hAnsi="標楷體" w:hint="eastAsia"/>
                <w:noProof/>
                <w:sz w:val="22"/>
              </w:rPr>
              <w:t>引導學生</w:t>
            </w:r>
            <w:r w:rsidRPr="00E84465">
              <w:rPr>
                <w:rFonts w:ascii="標楷體" w:hAnsi="標楷體" w:hint="eastAsia"/>
                <w:noProof/>
                <w:sz w:val="22"/>
              </w:rPr>
              <w:t>比較東西方繪畫的差異，闡釋中國水墨畫的特色。</w:t>
            </w:r>
          </w:p>
          <w:p w:rsidR="00043074" w:rsidRPr="00E84465" w:rsidRDefault="00781E10" w:rsidP="00E84465">
            <w:pPr>
              <w:pStyle w:val="aa"/>
              <w:rPr>
                <w:rFonts w:ascii="標楷體" w:hAnsi="標楷體"/>
                <w:noProof/>
                <w:sz w:val="22"/>
              </w:rPr>
            </w:pPr>
            <w:r w:rsidRPr="00E84465">
              <w:rPr>
                <w:rFonts w:ascii="標楷體" w:hAnsi="標楷體" w:hint="eastAsia"/>
                <w:noProof/>
                <w:sz w:val="22"/>
              </w:rPr>
              <w:t>(</w:t>
            </w:r>
            <w:r w:rsidRPr="00E84465">
              <w:rPr>
                <w:rFonts w:ascii="標楷體" w:hAnsi="標楷體"/>
                <w:noProof/>
                <w:sz w:val="22"/>
              </w:rPr>
              <w:t>1)</w:t>
            </w:r>
            <w:r w:rsidRPr="00E84465">
              <w:rPr>
                <w:rFonts w:ascii="標楷體" w:hAnsi="標楷體" w:hint="eastAsia"/>
                <w:noProof/>
                <w:sz w:val="22"/>
              </w:rPr>
              <w:t>有虛有實:讓學生分析東西方繪畫的異同，並進而了解水墨畫的特色。</w:t>
            </w:r>
          </w:p>
          <w:p w:rsidR="00E84465" w:rsidRPr="00E84465" w:rsidRDefault="00E84465" w:rsidP="00E84465">
            <w:pPr>
              <w:rPr>
                <w:rFonts w:ascii="標楷體" w:eastAsia="標楷體" w:hAnsi="標楷體"/>
                <w:sz w:val="22"/>
              </w:rPr>
            </w:pPr>
            <w:r w:rsidRPr="00E84465">
              <w:rPr>
                <w:rFonts w:ascii="標楷體" w:eastAsia="標楷體" w:hAnsi="標楷體" w:hint="eastAsia"/>
                <w:b/>
                <w:sz w:val="22"/>
              </w:rPr>
              <w:t>3.</w:t>
            </w:r>
            <w:r w:rsidRPr="00E84465">
              <w:rPr>
                <w:rFonts w:ascii="標楷體" w:eastAsia="標楷體" w:hAnsi="標楷體" w:hint="eastAsia"/>
                <w:sz w:val="22"/>
              </w:rPr>
              <w:t>教師示範筆法與墨法的使用：</w:t>
            </w:r>
          </w:p>
          <w:p w:rsidR="00E84465" w:rsidRPr="00E84465" w:rsidRDefault="00E84465" w:rsidP="00E84465">
            <w:pPr>
              <w:rPr>
                <w:rFonts w:ascii="標楷體" w:eastAsia="標楷體" w:hAnsi="標楷體"/>
                <w:sz w:val="22"/>
              </w:rPr>
            </w:pPr>
            <w:r w:rsidRPr="00E84465">
              <w:rPr>
                <w:rFonts w:ascii="標楷體" w:eastAsia="標楷體" w:hAnsi="標楷體" w:hint="eastAsia"/>
                <w:sz w:val="22"/>
              </w:rPr>
              <w:t>(</w:t>
            </w:r>
            <w:r w:rsidRPr="00E84465">
              <w:rPr>
                <w:rFonts w:ascii="標楷體" w:eastAsia="標楷體" w:hAnsi="標楷體"/>
                <w:sz w:val="22"/>
              </w:rPr>
              <w:t>1)</w:t>
            </w:r>
            <w:r w:rsidRPr="00E84465">
              <w:rPr>
                <w:rFonts w:ascii="標楷體" w:eastAsia="標楷體" w:hAnsi="標楷體" w:hint="eastAsia"/>
                <w:sz w:val="22"/>
              </w:rPr>
              <w:t>筆法:鈎、皴、擦、點、染</w:t>
            </w:r>
          </w:p>
          <w:p w:rsidR="00E84465" w:rsidRPr="00E84465" w:rsidRDefault="00E84465" w:rsidP="00E84465">
            <w:pPr>
              <w:rPr>
                <w:rFonts w:ascii="標楷體" w:eastAsia="標楷體" w:hAnsi="標楷體"/>
                <w:sz w:val="22"/>
              </w:rPr>
            </w:pPr>
            <w:r w:rsidRPr="00E84465">
              <w:rPr>
                <w:rFonts w:ascii="標楷體" w:eastAsia="標楷體" w:hAnsi="標楷體" w:hint="eastAsia"/>
                <w:sz w:val="22"/>
              </w:rPr>
              <w:t>(</w:t>
            </w:r>
            <w:r w:rsidRPr="00E84465">
              <w:rPr>
                <w:rFonts w:ascii="標楷體" w:eastAsia="標楷體" w:hAnsi="標楷體"/>
                <w:sz w:val="22"/>
              </w:rPr>
              <w:t>2)</w:t>
            </w:r>
            <w:r w:rsidRPr="00E84465">
              <w:rPr>
                <w:rFonts w:ascii="標楷體" w:eastAsia="標楷體" w:hAnsi="標楷體" w:hint="eastAsia"/>
                <w:sz w:val="22"/>
              </w:rPr>
              <w:t>墨法:墨分五色。五色指的是乾、濕、濃、淡、黑，或是焦、濃、重、淡、輕。</w:t>
            </w:r>
          </w:p>
          <w:p w:rsidR="00E84465" w:rsidRPr="00E84465" w:rsidRDefault="00E84465" w:rsidP="00E84465">
            <w:pPr>
              <w:rPr>
                <w:rFonts w:ascii="標楷體" w:eastAsia="標楷體" w:hAnsi="標楷體"/>
                <w:sz w:val="22"/>
              </w:rPr>
            </w:pPr>
            <w:r w:rsidRPr="00E84465">
              <w:rPr>
                <w:rFonts w:ascii="標楷體" w:eastAsia="標楷體" w:hAnsi="標楷體" w:hint="eastAsia"/>
                <w:b/>
                <w:sz w:val="22"/>
              </w:rPr>
              <w:t>4.</w:t>
            </w:r>
            <w:r w:rsidRPr="00E84465">
              <w:rPr>
                <w:rFonts w:ascii="標楷體" w:eastAsia="標楷體" w:hAnsi="標楷體" w:hint="eastAsia"/>
                <w:sz w:val="22"/>
              </w:rPr>
              <w:t>學生臨摹課本上的古代名家作品，練習鈎、皴、擦、點、染等筆法。</w:t>
            </w:r>
          </w:p>
          <w:p w:rsidR="00E84465" w:rsidRPr="00E84465" w:rsidRDefault="00E84465" w:rsidP="00E84465">
            <w:pPr>
              <w:rPr>
                <w:rFonts w:ascii="標楷體" w:eastAsia="標楷體" w:hAnsi="標楷體"/>
                <w:sz w:val="22"/>
              </w:rPr>
            </w:pPr>
            <w:r w:rsidRPr="00E84465">
              <w:rPr>
                <w:rFonts w:ascii="標楷體" w:eastAsia="標楷體" w:hAnsi="標楷體" w:hint="eastAsia"/>
                <w:sz w:val="22"/>
              </w:rPr>
              <w:t>5</w:t>
            </w:r>
            <w:r w:rsidRPr="00E84465">
              <w:rPr>
                <w:rFonts w:ascii="標楷體" w:eastAsia="標楷體" w:hAnsi="標楷體"/>
                <w:sz w:val="22"/>
              </w:rPr>
              <w:t>.</w:t>
            </w:r>
            <w:r w:rsidRPr="00E84465">
              <w:rPr>
                <w:rFonts w:ascii="標楷體" w:eastAsia="標楷體" w:hAnsi="標楷體" w:hint="eastAsia"/>
                <w:sz w:val="22"/>
              </w:rPr>
              <w:t>學生練習調墨的方法:</w:t>
            </w:r>
          </w:p>
          <w:p w:rsidR="00E84465" w:rsidRPr="00E84465" w:rsidRDefault="00E84465" w:rsidP="00E84465">
            <w:pPr>
              <w:rPr>
                <w:rFonts w:ascii="標楷體" w:eastAsia="標楷體" w:hAnsi="標楷體"/>
                <w:sz w:val="22"/>
              </w:rPr>
            </w:pPr>
            <w:r w:rsidRPr="00E84465">
              <w:rPr>
                <w:rFonts w:ascii="標楷體" w:eastAsia="標楷體" w:hAnsi="標楷體" w:hint="eastAsia"/>
                <w:sz w:val="22"/>
              </w:rPr>
              <w:t xml:space="preserve">筆先洗淨 </w:t>
            </w:r>
            <w:r w:rsidRPr="00E84465">
              <w:rPr>
                <w:rFonts w:ascii="標楷體" w:eastAsia="標楷體" w:hAnsi="標楷體"/>
                <w:sz w:val="22"/>
              </w:rPr>
              <w:t>–</w:t>
            </w:r>
            <w:r w:rsidRPr="00E84465">
              <w:rPr>
                <w:rFonts w:ascii="標楷體" w:eastAsia="標楷體" w:hAnsi="標楷體" w:hint="eastAsia"/>
                <w:sz w:val="22"/>
              </w:rPr>
              <w:t xml:space="preserve"> 沾淡墨 </w:t>
            </w:r>
            <w:r w:rsidRPr="00E84465">
              <w:rPr>
                <w:rFonts w:ascii="標楷體" w:eastAsia="標楷體" w:hAnsi="標楷體"/>
                <w:sz w:val="22"/>
              </w:rPr>
              <w:t>–</w:t>
            </w:r>
            <w:r w:rsidRPr="00E84465">
              <w:rPr>
                <w:rFonts w:ascii="標楷體" w:eastAsia="標楷體" w:hAnsi="標楷體" w:hint="eastAsia"/>
                <w:sz w:val="22"/>
              </w:rPr>
              <w:t xml:space="preserve"> 筆尖沾濃墨</w:t>
            </w:r>
          </w:p>
          <w:p w:rsidR="00E84465" w:rsidRPr="00E84465" w:rsidRDefault="00E84465" w:rsidP="00E84465">
            <w:pPr>
              <w:ind w:left="1982" w:hangingChars="900" w:hanging="1982"/>
              <w:rPr>
                <w:rFonts w:ascii="標楷體" w:eastAsia="標楷體" w:hAnsi="標楷體"/>
                <w:sz w:val="22"/>
              </w:rPr>
            </w:pPr>
            <w:r w:rsidRPr="00E84465">
              <w:rPr>
                <w:rFonts w:ascii="標楷體" w:eastAsia="標楷體" w:hAnsi="標楷體" w:hint="eastAsia"/>
                <w:b/>
                <w:sz w:val="22"/>
              </w:rPr>
              <w:t>6.</w:t>
            </w:r>
            <w:r w:rsidRPr="00E84465">
              <w:rPr>
                <w:rFonts w:ascii="標楷體" w:eastAsia="標楷體" w:hAnsi="標楷體" w:hint="eastAsia"/>
                <w:sz w:val="22"/>
              </w:rPr>
              <w:t>學生練習各種墨色的變化</w:t>
            </w:r>
          </w:p>
          <w:p w:rsidR="00E84465" w:rsidRPr="00E84465" w:rsidRDefault="00E84465" w:rsidP="00E84465">
            <w:pPr>
              <w:ind w:left="1980" w:hangingChars="900" w:hanging="1980"/>
              <w:rPr>
                <w:rFonts w:ascii="標楷體" w:eastAsia="標楷體" w:hAnsi="標楷體"/>
                <w:sz w:val="22"/>
              </w:rPr>
            </w:pPr>
            <w:r w:rsidRPr="00E84465">
              <w:rPr>
                <w:rFonts w:ascii="標楷體" w:eastAsia="標楷體" w:hAnsi="標楷體" w:hint="eastAsia"/>
                <w:sz w:val="22"/>
              </w:rPr>
              <w:t>乾筆法：筆毛含水分少，利用運筆速度的快慢，變化線條</w:t>
            </w:r>
          </w:p>
          <w:p w:rsidR="00E84465" w:rsidRPr="00E84465" w:rsidRDefault="00E84465" w:rsidP="00E84465">
            <w:pPr>
              <w:ind w:left="1980" w:hangingChars="900" w:hanging="1980"/>
              <w:rPr>
                <w:rFonts w:ascii="標楷體" w:eastAsia="標楷體" w:hAnsi="標楷體"/>
                <w:sz w:val="22"/>
              </w:rPr>
            </w:pPr>
            <w:r w:rsidRPr="00E84465">
              <w:rPr>
                <w:rFonts w:ascii="標楷體" w:eastAsia="標楷體" w:hAnsi="標楷體" w:hint="eastAsia"/>
                <w:sz w:val="22"/>
              </w:rPr>
              <w:t>濕筆法：筆上含水墨量較多，運筆稍快，會有濕潤的感覺；運</w:t>
            </w:r>
          </w:p>
          <w:p w:rsidR="00E84465" w:rsidRPr="00E84465" w:rsidRDefault="00E84465" w:rsidP="00E84465">
            <w:pPr>
              <w:ind w:left="1980" w:hangingChars="900" w:hanging="1980"/>
              <w:rPr>
                <w:rFonts w:ascii="標楷體" w:eastAsia="標楷體" w:hAnsi="標楷體"/>
                <w:sz w:val="22"/>
              </w:rPr>
            </w:pPr>
            <w:r w:rsidRPr="00E84465">
              <w:rPr>
                <w:rFonts w:ascii="標楷體" w:eastAsia="標楷體" w:hAnsi="標楷體" w:hint="eastAsia"/>
                <w:sz w:val="22"/>
              </w:rPr>
              <w:t>筆慢，水墨暈染更快調好墨，測鋒下筆，則濃中有淡，淡中有</w:t>
            </w:r>
          </w:p>
          <w:p w:rsidR="00E84465" w:rsidRPr="00E84465" w:rsidRDefault="00E84465" w:rsidP="00E84465">
            <w:pPr>
              <w:rPr>
                <w:rFonts w:ascii="標楷體" w:eastAsia="標楷體" w:hAnsi="標楷體"/>
                <w:sz w:val="22"/>
              </w:rPr>
            </w:pPr>
            <w:r w:rsidRPr="00E84465">
              <w:rPr>
                <w:rFonts w:ascii="標楷體" w:eastAsia="標楷體" w:hAnsi="標楷體" w:hint="eastAsia"/>
                <w:sz w:val="22"/>
              </w:rPr>
              <w:t>濃</w:t>
            </w:r>
          </w:p>
          <w:p w:rsidR="00E84465" w:rsidRPr="00E84465" w:rsidRDefault="00E84465" w:rsidP="00E84465">
            <w:pPr>
              <w:rPr>
                <w:rFonts w:ascii="標楷體" w:eastAsia="標楷體" w:hAnsi="標楷體"/>
                <w:sz w:val="22"/>
              </w:rPr>
            </w:pPr>
            <w:r w:rsidRPr="00E84465">
              <w:rPr>
                <w:rFonts w:ascii="標楷體" w:eastAsia="標楷體" w:hAnsi="標楷體" w:hint="eastAsia"/>
                <w:b/>
                <w:sz w:val="22"/>
              </w:rPr>
              <w:t>7.</w:t>
            </w:r>
            <w:r w:rsidRPr="00E84465">
              <w:rPr>
                <w:rFonts w:ascii="標楷體" w:eastAsia="標楷體" w:hAnsi="標楷體" w:hint="eastAsia"/>
                <w:sz w:val="22"/>
              </w:rPr>
              <w:t>學生各組間可以相互學習與討論水墨中筆法與墨法的練習。</w:t>
            </w:r>
            <w:r w:rsidRPr="00E84465">
              <w:rPr>
                <w:rFonts w:ascii="標楷體" w:eastAsia="標楷體" w:hAnsi="標楷體"/>
                <w:sz w:val="22"/>
              </w:rPr>
              <w:t xml:space="preserve"> </w:t>
            </w:r>
          </w:p>
          <w:p w:rsidR="00E84465" w:rsidRPr="00E84465" w:rsidRDefault="00E84465" w:rsidP="00E84465">
            <w:pPr>
              <w:rPr>
                <w:rFonts w:ascii="標楷體" w:eastAsia="標楷體" w:hAnsi="標楷體"/>
                <w:sz w:val="22"/>
              </w:rPr>
            </w:pPr>
          </w:p>
          <w:p w:rsidR="00E84465" w:rsidRPr="00E84465" w:rsidRDefault="00E84465" w:rsidP="00E84465">
            <w:pPr>
              <w:rPr>
                <w:rFonts w:ascii="標楷體" w:eastAsia="標楷體" w:hAnsi="標楷體"/>
                <w:kern w:val="0"/>
                <w:sz w:val="22"/>
              </w:rPr>
            </w:pPr>
            <w:r w:rsidRPr="00E84465">
              <w:rPr>
                <w:rFonts w:ascii="標楷體" w:eastAsia="標楷體" w:hAnsi="標楷體" w:hint="eastAsia"/>
                <w:kern w:val="0"/>
                <w:sz w:val="22"/>
              </w:rPr>
              <w:t>（三）統整活動</w:t>
            </w:r>
          </w:p>
          <w:p w:rsidR="00E84465" w:rsidRPr="00E84465" w:rsidRDefault="00E84465" w:rsidP="00E84465">
            <w:pPr>
              <w:snapToGrid w:val="0"/>
              <w:rPr>
                <w:rFonts w:ascii="標楷體" w:eastAsia="標楷體" w:hAnsi="標楷體"/>
                <w:kern w:val="0"/>
                <w:sz w:val="22"/>
              </w:rPr>
            </w:pPr>
            <w:r w:rsidRPr="00E84465">
              <w:rPr>
                <w:rFonts w:ascii="標楷體" w:eastAsia="標楷體" w:hAnsi="標楷體" w:hint="eastAsia"/>
                <w:kern w:val="0"/>
                <w:sz w:val="22"/>
              </w:rPr>
              <w:t>教師與學生分享在繪製水墨時所產生的問題，以及如何解決。</w:t>
            </w:r>
          </w:p>
          <w:p w:rsidR="00043074" w:rsidRPr="00E84465" w:rsidRDefault="00043074" w:rsidP="00E84465">
            <w:pPr>
              <w:widowControl/>
              <w:ind w:left="360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P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P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P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  <w:r w:rsidRPr="00E84465">
              <w:rPr>
                <w:rFonts w:ascii="標楷體" w:eastAsia="標楷體" w:hAnsi="標楷體" w:hint="eastAsia"/>
              </w:rPr>
              <w:t>5</w:t>
            </w:r>
            <w:r w:rsidRPr="00E84465">
              <w:rPr>
                <w:rFonts w:ascii="標楷體" w:eastAsia="標楷體" w:hAnsi="標楷體"/>
              </w:rPr>
              <w:t>分鐘</w:t>
            </w: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  <w:r w:rsidRPr="00E84465">
              <w:rPr>
                <w:rFonts w:ascii="標楷體" w:eastAsia="標楷體" w:hAnsi="標楷體" w:hint="eastAsia"/>
              </w:rPr>
              <w:t>35</w:t>
            </w:r>
            <w:r w:rsidRPr="00E84465">
              <w:rPr>
                <w:rFonts w:ascii="標楷體" w:eastAsia="標楷體" w:hAnsi="標楷體"/>
              </w:rPr>
              <w:t>分鐘</w:t>
            </w: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P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P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P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P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P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P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P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E84465" w:rsidRPr="00E84465" w:rsidRDefault="00E84465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  <w:r w:rsidRPr="00E84465">
              <w:rPr>
                <w:rFonts w:ascii="標楷體" w:eastAsia="標楷體" w:hAnsi="標楷體"/>
              </w:rPr>
              <w:t>5分鐘</w:t>
            </w: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  <w:r w:rsidRPr="00E84465">
              <w:rPr>
                <w:rFonts w:ascii="標楷體" w:eastAsia="標楷體" w:hAnsi="標楷體" w:hint="eastAsia"/>
              </w:rPr>
              <w:t>簡報PPT</w:t>
            </w: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  <w:r w:rsidRPr="00E84465">
              <w:rPr>
                <w:rFonts w:ascii="標楷體" w:eastAsia="標楷體" w:hAnsi="標楷體"/>
              </w:rPr>
              <w:t>學習單</w:t>
            </w: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  <w:p w:rsidR="00043074" w:rsidRPr="00E84465" w:rsidRDefault="00043074" w:rsidP="00CF56CC">
            <w:pPr>
              <w:spacing w:line="350" w:lineRule="exact"/>
              <w:rPr>
                <w:rFonts w:ascii="標楷體" w:eastAsia="標楷體" w:hAnsi="標楷體"/>
              </w:rPr>
            </w:pPr>
          </w:p>
        </w:tc>
      </w:tr>
    </w:tbl>
    <w:p w:rsidR="0067336E" w:rsidRPr="00CC2C7E" w:rsidRDefault="0067336E" w:rsidP="0067336E">
      <w:pPr>
        <w:rPr>
          <w:rFonts w:ascii="標楷體" w:eastAsia="標楷體" w:hAnsi="標楷體"/>
          <w:color w:val="000000" w:themeColor="text1"/>
        </w:rPr>
      </w:pPr>
    </w:p>
    <w:sectPr w:rsidR="0067336E" w:rsidRPr="00CC2C7E" w:rsidSect="00727A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A0" w:rsidRDefault="00B861A0" w:rsidP="003C0DCD">
      <w:r>
        <w:separator/>
      </w:r>
    </w:p>
  </w:endnote>
  <w:endnote w:type="continuationSeparator" w:id="0">
    <w:p w:rsidR="00B861A0" w:rsidRDefault="00B861A0" w:rsidP="003C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A0" w:rsidRDefault="00B861A0" w:rsidP="003C0DCD">
      <w:r>
        <w:separator/>
      </w:r>
    </w:p>
  </w:footnote>
  <w:footnote w:type="continuationSeparator" w:id="0">
    <w:p w:rsidR="00B861A0" w:rsidRDefault="00B861A0" w:rsidP="003C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647"/>
    <w:multiLevelType w:val="hybridMultilevel"/>
    <w:tmpl w:val="CCFC85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A5720D"/>
    <w:multiLevelType w:val="hybridMultilevel"/>
    <w:tmpl w:val="6BF04B0C"/>
    <w:lvl w:ilvl="0" w:tplc="6C521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3D49A2"/>
    <w:multiLevelType w:val="hybridMultilevel"/>
    <w:tmpl w:val="6ACA2732"/>
    <w:lvl w:ilvl="0" w:tplc="0FD6F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836BE7"/>
    <w:multiLevelType w:val="hybridMultilevel"/>
    <w:tmpl w:val="90B88046"/>
    <w:lvl w:ilvl="0" w:tplc="2DEE6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0D5E85"/>
    <w:multiLevelType w:val="hybridMultilevel"/>
    <w:tmpl w:val="9732D5D4"/>
    <w:lvl w:ilvl="0" w:tplc="21B0E592">
      <w:start w:val="1"/>
      <w:numFmt w:val="decimal"/>
      <w:lvlText w:val="%1."/>
      <w:lvlJc w:val="left"/>
      <w:pPr>
        <w:ind w:left="5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6" w:hanging="480"/>
      </w:pPr>
    </w:lvl>
    <w:lvl w:ilvl="2" w:tplc="0409001B" w:tentative="1">
      <w:start w:val="1"/>
      <w:numFmt w:val="lowerRoman"/>
      <w:lvlText w:val="%3."/>
      <w:lvlJc w:val="right"/>
      <w:pPr>
        <w:ind w:left="1626" w:hanging="480"/>
      </w:pPr>
    </w:lvl>
    <w:lvl w:ilvl="3" w:tplc="0409000F" w:tentative="1">
      <w:start w:val="1"/>
      <w:numFmt w:val="decimal"/>
      <w:lvlText w:val="%4."/>
      <w:lvlJc w:val="left"/>
      <w:pPr>
        <w:ind w:left="21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6" w:hanging="480"/>
      </w:pPr>
    </w:lvl>
    <w:lvl w:ilvl="5" w:tplc="0409001B" w:tentative="1">
      <w:start w:val="1"/>
      <w:numFmt w:val="lowerRoman"/>
      <w:lvlText w:val="%6."/>
      <w:lvlJc w:val="right"/>
      <w:pPr>
        <w:ind w:left="3066" w:hanging="480"/>
      </w:pPr>
    </w:lvl>
    <w:lvl w:ilvl="6" w:tplc="0409000F" w:tentative="1">
      <w:start w:val="1"/>
      <w:numFmt w:val="decimal"/>
      <w:lvlText w:val="%7."/>
      <w:lvlJc w:val="left"/>
      <w:pPr>
        <w:ind w:left="35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6" w:hanging="480"/>
      </w:pPr>
    </w:lvl>
    <w:lvl w:ilvl="8" w:tplc="0409001B" w:tentative="1">
      <w:start w:val="1"/>
      <w:numFmt w:val="lowerRoman"/>
      <w:lvlText w:val="%9."/>
      <w:lvlJc w:val="right"/>
      <w:pPr>
        <w:ind w:left="4506" w:hanging="480"/>
      </w:pPr>
    </w:lvl>
  </w:abstractNum>
  <w:abstractNum w:abstractNumId="6" w15:restartNumberingAfterBreak="0">
    <w:nsid w:val="39CF79DE"/>
    <w:multiLevelType w:val="hybridMultilevel"/>
    <w:tmpl w:val="7B501D48"/>
    <w:lvl w:ilvl="0" w:tplc="9F3A162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417A1D00"/>
    <w:multiLevelType w:val="hybridMultilevel"/>
    <w:tmpl w:val="313ACD58"/>
    <w:lvl w:ilvl="0" w:tplc="2DEE6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0A4581"/>
    <w:multiLevelType w:val="hybridMultilevel"/>
    <w:tmpl w:val="21F88820"/>
    <w:lvl w:ilvl="0" w:tplc="492CB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D75C8A"/>
    <w:multiLevelType w:val="hybridMultilevel"/>
    <w:tmpl w:val="53347C74"/>
    <w:lvl w:ilvl="0" w:tplc="6A9654A2">
      <w:start w:val="2"/>
      <w:numFmt w:val="decimal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0" w15:restartNumberingAfterBreak="0">
    <w:nsid w:val="451463A6"/>
    <w:multiLevelType w:val="hybridMultilevel"/>
    <w:tmpl w:val="56B85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3637A6"/>
    <w:multiLevelType w:val="hybridMultilevel"/>
    <w:tmpl w:val="2C52C10A"/>
    <w:lvl w:ilvl="0" w:tplc="76180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D447998"/>
    <w:multiLevelType w:val="hybridMultilevel"/>
    <w:tmpl w:val="420C400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0452449"/>
    <w:multiLevelType w:val="hybridMultilevel"/>
    <w:tmpl w:val="552C02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BF2F06"/>
    <w:multiLevelType w:val="hybridMultilevel"/>
    <w:tmpl w:val="FAA42416"/>
    <w:lvl w:ilvl="0" w:tplc="76180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93E33ED"/>
    <w:multiLevelType w:val="hybridMultilevel"/>
    <w:tmpl w:val="E65A91BC"/>
    <w:lvl w:ilvl="0" w:tplc="9F3A16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 w15:restartNumberingAfterBreak="0">
    <w:nsid w:val="71C85CF5"/>
    <w:multiLevelType w:val="hybridMultilevel"/>
    <w:tmpl w:val="B9B2852E"/>
    <w:lvl w:ilvl="0" w:tplc="B282D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38319F"/>
    <w:multiLevelType w:val="hybridMultilevel"/>
    <w:tmpl w:val="250A5AC0"/>
    <w:lvl w:ilvl="0" w:tplc="18861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61516C"/>
    <w:multiLevelType w:val="hybridMultilevel"/>
    <w:tmpl w:val="D88881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5"/>
  </w:num>
  <w:num w:numId="3">
    <w:abstractNumId w:val="19"/>
  </w:num>
  <w:num w:numId="4">
    <w:abstractNumId w:val="10"/>
  </w:num>
  <w:num w:numId="5">
    <w:abstractNumId w:val="13"/>
  </w:num>
  <w:num w:numId="6">
    <w:abstractNumId w:val="0"/>
  </w:num>
  <w:num w:numId="7">
    <w:abstractNumId w:val="6"/>
  </w:num>
  <w:num w:numId="8">
    <w:abstractNumId w:val="16"/>
  </w:num>
  <w:num w:numId="9">
    <w:abstractNumId w:val="9"/>
  </w:num>
  <w:num w:numId="10">
    <w:abstractNumId w:val="17"/>
  </w:num>
  <w:num w:numId="11">
    <w:abstractNumId w:val="8"/>
  </w:num>
  <w:num w:numId="12">
    <w:abstractNumId w:val="5"/>
  </w:num>
  <w:num w:numId="13">
    <w:abstractNumId w:val="7"/>
  </w:num>
  <w:num w:numId="14">
    <w:abstractNumId w:val="14"/>
  </w:num>
  <w:num w:numId="15">
    <w:abstractNumId w:val="12"/>
  </w:num>
  <w:num w:numId="16">
    <w:abstractNumId w:val="4"/>
  </w:num>
  <w:num w:numId="17">
    <w:abstractNumId w:val="11"/>
  </w:num>
  <w:num w:numId="18">
    <w:abstractNumId w:val="3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DD"/>
    <w:rsid w:val="0002538C"/>
    <w:rsid w:val="00043074"/>
    <w:rsid w:val="00047C0C"/>
    <w:rsid w:val="000A27E1"/>
    <w:rsid w:val="00123B8E"/>
    <w:rsid w:val="001E78A5"/>
    <w:rsid w:val="001F7835"/>
    <w:rsid w:val="00236746"/>
    <w:rsid w:val="00281ECC"/>
    <w:rsid w:val="00335F51"/>
    <w:rsid w:val="00336A88"/>
    <w:rsid w:val="00355B0E"/>
    <w:rsid w:val="003625F4"/>
    <w:rsid w:val="00396E61"/>
    <w:rsid w:val="003C0DCD"/>
    <w:rsid w:val="003F47BC"/>
    <w:rsid w:val="004345F6"/>
    <w:rsid w:val="0044498D"/>
    <w:rsid w:val="0045639E"/>
    <w:rsid w:val="00462880"/>
    <w:rsid w:val="004C5CAC"/>
    <w:rsid w:val="004F59D6"/>
    <w:rsid w:val="00533ED7"/>
    <w:rsid w:val="005421AE"/>
    <w:rsid w:val="00546784"/>
    <w:rsid w:val="0057318E"/>
    <w:rsid w:val="005B37C1"/>
    <w:rsid w:val="005B4CD1"/>
    <w:rsid w:val="005C4ABD"/>
    <w:rsid w:val="005F4285"/>
    <w:rsid w:val="00600644"/>
    <w:rsid w:val="00617D4C"/>
    <w:rsid w:val="006250A7"/>
    <w:rsid w:val="006318D8"/>
    <w:rsid w:val="00637209"/>
    <w:rsid w:val="00643551"/>
    <w:rsid w:val="0067336E"/>
    <w:rsid w:val="006A36CF"/>
    <w:rsid w:val="006B0B3F"/>
    <w:rsid w:val="006B2503"/>
    <w:rsid w:val="006B5739"/>
    <w:rsid w:val="006C0A06"/>
    <w:rsid w:val="006D432F"/>
    <w:rsid w:val="006F54AE"/>
    <w:rsid w:val="00722018"/>
    <w:rsid w:val="00727AE2"/>
    <w:rsid w:val="0075498E"/>
    <w:rsid w:val="00755957"/>
    <w:rsid w:val="00781E10"/>
    <w:rsid w:val="00805A38"/>
    <w:rsid w:val="00810223"/>
    <w:rsid w:val="00831D77"/>
    <w:rsid w:val="00843AC7"/>
    <w:rsid w:val="00877D11"/>
    <w:rsid w:val="008958DA"/>
    <w:rsid w:val="0094415D"/>
    <w:rsid w:val="00944595"/>
    <w:rsid w:val="009637A9"/>
    <w:rsid w:val="009D465D"/>
    <w:rsid w:val="00A024E0"/>
    <w:rsid w:val="00A41D36"/>
    <w:rsid w:val="00A8628B"/>
    <w:rsid w:val="00AB6F13"/>
    <w:rsid w:val="00AD0396"/>
    <w:rsid w:val="00AD728B"/>
    <w:rsid w:val="00AE4DD3"/>
    <w:rsid w:val="00B03225"/>
    <w:rsid w:val="00B247FB"/>
    <w:rsid w:val="00B7671B"/>
    <w:rsid w:val="00B861A0"/>
    <w:rsid w:val="00C06440"/>
    <w:rsid w:val="00C1599B"/>
    <w:rsid w:val="00C26E7F"/>
    <w:rsid w:val="00C54C62"/>
    <w:rsid w:val="00C60013"/>
    <w:rsid w:val="00C8045B"/>
    <w:rsid w:val="00CA6710"/>
    <w:rsid w:val="00CC2C7E"/>
    <w:rsid w:val="00CD02DD"/>
    <w:rsid w:val="00CF56CC"/>
    <w:rsid w:val="00D11F9D"/>
    <w:rsid w:val="00D444C1"/>
    <w:rsid w:val="00D44E46"/>
    <w:rsid w:val="00D54486"/>
    <w:rsid w:val="00D67326"/>
    <w:rsid w:val="00DC27C1"/>
    <w:rsid w:val="00DD6C2D"/>
    <w:rsid w:val="00DF3E46"/>
    <w:rsid w:val="00E53322"/>
    <w:rsid w:val="00E775D2"/>
    <w:rsid w:val="00E8007D"/>
    <w:rsid w:val="00E84465"/>
    <w:rsid w:val="00EA2767"/>
    <w:rsid w:val="00EC039B"/>
    <w:rsid w:val="00EC7997"/>
    <w:rsid w:val="00ED7972"/>
    <w:rsid w:val="00EE0E35"/>
    <w:rsid w:val="00F05C2E"/>
    <w:rsid w:val="00F124A4"/>
    <w:rsid w:val="00F23061"/>
    <w:rsid w:val="00F53B7D"/>
    <w:rsid w:val="00FC2A7B"/>
    <w:rsid w:val="00FC4691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25520"/>
  <w15:docId w15:val="{BDE4F01D-1B27-43BE-9903-CBAC5F0F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24A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124A4"/>
  </w:style>
  <w:style w:type="paragraph" w:styleId="a5">
    <w:name w:val="header"/>
    <w:basedOn w:val="a"/>
    <w:link w:val="a6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0D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0DCD"/>
    <w:rPr>
      <w:sz w:val="20"/>
      <w:szCs w:val="20"/>
    </w:rPr>
  </w:style>
  <w:style w:type="table" w:styleId="a9">
    <w:name w:val="Table Grid"/>
    <w:basedOn w:val="a1"/>
    <w:rsid w:val="00673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27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No Spacing"/>
    <w:link w:val="ab"/>
    <w:uiPriority w:val="1"/>
    <w:qFormat/>
    <w:rsid w:val="00D67326"/>
    <w:pPr>
      <w:widowControl w:val="0"/>
    </w:pPr>
    <w:rPr>
      <w:rFonts w:eastAsia="標楷體"/>
      <w:sz w:val="27"/>
    </w:rPr>
  </w:style>
  <w:style w:type="character" w:customStyle="1" w:styleId="ab">
    <w:name w:val="無間距 字元"/>
    <w:link w:val="aa"/>
    <w:uiPriority w:val="1"/>
    <w:rsid w:val="00781E10"/>
    <w:rPr>
      <w:rFonts w:eastAsia="標楷體"/>
      <w:sz w:val="27"/>
    </w:rPr>
  </w:style>
  <w:style w:type="paragraph" w:styleId="ac">
    <w:name w:val="Balloon Text"/>
    <w:basedOn w:val="a"/>
    <w:link w:val="ad"/>
    <w:uiPriority w:val="99"/>
    <w:semiHidden/>
    <w:unhideWhenUsed/>
    <w:rsid w:val="00781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81E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ED4BF-428A-43AF-856A-E1AF64484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2019-11-18T07:56:00Z</cp:lastPrinted>
  <dcterms:created xsi:type="dcterms:W3CDTF">2022-11-14T13:37:00Z</dcterms:created>
  <dcterms:modified xsi:type="dcterms:W3CDTF">2022-11-14T13:43:00Z</dcterms:modified>
</cp:coreProperties>
</file>