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A7" w:rsidRPr="008B6384" w:rsidRDefault="00195C2A" w:rsidP="004A73C4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375"/>
        <w:gridCol w:w="899"/>
      </w:tblGrid>
      <w:tr w:rsidR="00A260A7" w:rsidTr="000F7186">
        <w:trPr>
          <w:trHeight w:val="147"/>
        </w:trPr>
        <w:tc>
          <w:tcPr>
            <w:tcW w:w="2013" w:type="dxa"/>
            <w:gridSpan w:val="2"/>
            <w:vAlign w:val="center"/>
          </w:tcPr>
          <w:p w:rsidR="00A260A7" w:rsidRPr="009C6BA8" w:rsidRDefault="00A260A7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A260A7" w:rsidRDefault="00A27094" w:rsidP="00A63669">
            <w:r>
              <w:rPr>
                <w:rFonts w:hint="eastAsia"/>
              </w:rPr>
              <w:t>社會</w:t>
            </w:r>
          </w:p>
        </w:tc>
        <w:tc>
          <w:tcPr>
            <w:tcW w:w="1337" w:type="dxa"/>
            <w:vAlign w:val="center"/>
          </w:tcPr>
          <w:p w:rsidR="00A260A7" w:rsidRPr="009C6BA8" w:rsidRDefault="0037178C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="00BB0C87">
              <w:rPr>
                <w:rFonts w:asci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61" w:type="dxa"/>
            <w:gridSpan w:val="3"/>
            <w:vAlign w:val="center"/>
          </w:tcPr>
          <w:p w:rsidR="00BB0C87" w:rsidRDefault="00A27094" w:rsidP="00A63669">
            <w:r>
              <w:rPr>
                <w:rFonts w:hint="eastAsia"/>
              </w:rPr>
              <w:t>112.03.23</w:t>
            </w:r>
          </w:p>
        </w:tc>
      </w:tr>
      <w:tr w:rsidR="0035691E" w:rsidTr="000F7186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F7186" w:rsidRDefault="000F7186" w:rsidP="000F71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6"/>
            </w:tblGrid>
            <w:tr w:rsidR="000F7186" w:rsidTr="000F7186">
              <w:trPr>
                <w:trHeight w:val="276"/>
              </w:trPr>
              <w:tc>
                <w:tcPr>
                  <w:tcW w:w="3206" w:type="dxa"/>
                </w:tcPr>
                <w:p w:rsidR="000F7186" w:rsidRDefault="000F7186" w:rsidP="000F71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第二單元日本統治下的臺灣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F7186" w:rsidRDefault="000F7186" w:rsidP="000F71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第三課殖民統治下的臺灣社會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5691E" w:rsidRPr="000F7186" w:rsidRDefault="0035691E" w:rsidP="00A63669"/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1E" w:rsidRPr="00D254DD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2D1BB1" w:rsidRPr="00567230" w:rsidRDefault="00A27094" w:rsidP="00A63669">
            <w:r>
              <w:rPr>
                <w:rFonts w:hint="eastAsia"/>
              </w:rPr>
              <w:t>五甲</w:t>
            </w:r>
          </w:p>
        </w:tc>
      </w:tr>
      <w:tr w:rsidR="0035691E" w:rsidTr="000F7186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F7186" w:rsidRDefault="000F7186" w:rsidP="000F71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0F7186" w:rsidTr="000F7186">
              <w:trPr>
                <w:trHeight w:val="120"/>
              </w:trPr>
              <w:tc>
                <w:tcPr>
                  <w:tcW w:w="1486" w:type="dxa"/>
                </w:tcPr>
                <w:p w:rsidR="000F7186" w:rsidRDefault="000F7186" w:rsidP="000F71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翰林第</w:t>
                  </w:r>
                  <w:r w:rsidR="005C68B1">
                    <w:rPr>
                      <w:rFonts w:hint="eastAsia"/>
                      <w:sz w:val="23"/>
                      <w:szCs w:val="23"/>
                    </w:rPr>
                    <w:t>六</w:t>
                  </w:r>
                  <w:r>
                    <w:rPr>
                      <w:rFonts w:hint="eastAsia"/>
                      <w:sz w:val="23"/>
                      <w:szCs w:val="23"/>
                    </w:rPr>
                    <w:t>冊</w:t>
                  </w:r>
                </w:p>
              </w:tc>
            </w:tr>
          </w:tbl>
          <w:p w:rsidR="00AE4845" w:rsidRDefault="00AE4845" w:rsidP="00A63669"/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1E" w:rsidRPr="009C6BA8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35691E" w:rsidRDefault="000F7186" w:rsidP="00A63669">
            <w:r>
              <w:rPr>
                <w:rFonts w:hint="eastAsia"/>
              </w:rPr>
              <w:t>楊芳萍</w:t>
            </w:r>
          </w:p>
        </w:tc>
      </w:tr>
      <w:tr w:rsidR="00BB0C87" w:rsidTr="000F7186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BB0C87" w:rsidRPr="006E06E8" w:rsidRDefault="005C68B1" w:rsidP="00A63669">
            <w:pPr>
              <w:jc w:val="both"/>
            </w:pPr>
            <w:r>
              <w:rPr>
                <w:rFonts w:hint="eastAsia"/>
                <w:sz w:val="23"/>
                <w:szCs w:val="23"/>
              </w:rPr>
              <w:t>了解殖民時期日本政府對於臺灣人的歧視與差別待遇</w:t>
            </w:r>
          </w:p>
        </w:tc>
      </w:tr>
      <w:tr w:rsidR="00BB0C87" w:rsidTr="000F7186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BB0C87" w:rsidRDefault="005C68B1" w:rsidP="002B32D9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影片   翰林社會課本   海報(寫出討論問題答案)</w:t>
            </w:r>
          </w:p>
          <w:p w:rsidR="005C68B1" w:rsidRPr="002B32D9" w:rsidRDefault="005C68B1" w:rsidP="002B32D9">
            <w:pPr>
              <w:jc w:val="both"/>
              <w:rPr>
                <w:rFonts w:ascii="標楷體" w:hint="eastAsia"/>
                <w:color w:val="000000"/>
              </w:rPr>
            </w:pPr>
          </w:p>
        </w:tc>
      </w:tr>
      <w:tr w:rsidR="000F7186" w:rsidTr="000F7186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F7186" w:rsidRPr="009C6BA8" w:rsidRDefault="000F7186" w:rsidP="000F7186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F7186" w:rsidRPr="009C6BA8" w:rsidRDefault="000F7186" w:rsidP="000F7186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F7186" w:rsidRDefault="000F7186" w:rsidP="000F71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了解殖民時期日本政府對於臺灣人的歧視與差別待遇</w:t>
            </w:r>
            <w:r>
              <w:rPr>
                <w:sz w:val="23"/>
                <w:szCs w:val="23"/>
              </w:rPr>
              <w:t xml:space="preserve"> </w:t>
            </w:r>
          </w:p>
          <w:p w:rsidR="000F7186" w:rsidRDefault="000F7186" w:rsidP="000F71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認識殖民時期推行社會運動的主要人物</w:t>
            </w:r>
            <w:r>
              <w:rPr>
                <w:sz w:val="23"/>
                <w:szCs w:val="23"/>
              </w:rPr>
              <w:t xml:space="preserve"> </w:t>
            </w:r>
          </w:p>
          <w:p w:rsidR="000F7186" w:rsidRDefault="000F7186" w:rsidP="000F71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了解殖民時期社會運動的訴求與過程</w:t>
            </w:r>
            <w:r>
              <w:rPr>
                <w:sz w:val="23"/>
                <w:szCs w:val="23"/>
              </w:rPr>
              <w:t xml:space="preserve"> </w:t>
            </w:r>
          </w:p>
          <w:p w:rsidR="000F7186" w:rsidRDefault="000F7186" w:rsidP="000F71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認識皇民化運動的背景與內容。</w:t>
            </w:r>
            <w:r>
              <w:rPr>
                <w:sz w:val="23"/>
                <w:szCs w:val="23"/>
              </w:rPr>
              <w:t xml:space="preserve"> </w:t>
            </w:r>
          </w:p>
          <w:p w:rsidR="000F7186" w:rsidRPr="005C3648" w:rsidRDefault="000F7186" w:rsidP="000F7186">
            <w:pPr>
              <w:rPr>
                <w:szCs w:val="28"/>
              </w:rPr>
            </w:pPr>
            <w:r>
              <w:rPr>
                <w:sz w:val="23"/>
                <w:szCs w:val="23"/>
              </w:rPr>
              <w:t>5.</w:t>
            </w:r>
            <w:r>
              <w:rPr>
                <w:rFonts w:ascii="標楷體" w:cs="標楷體" w:hint="eastAsia"/>
                <w:sz w:val="23"/>
                <w:szCs w:val="23"/>
              </w:rPr>
              <w:t>察覺臺灣文化受到日本影響的內涵與淵源</w:t>
            </w:r>
            <w:r>
              <w:rPr>
                <w:rFonts w:ascii="標楷體" w:cs="標楷體"/>
                <w:sz w:val="23"/>
                <w:szCs w:val="23"/>
              </w:rPr>
              <w:t xml:space="preserve"> </w:t>
            </w:r>
          </w:p>
        </w:tc>
      </w:tr>
      <w:tr w:rsidR="000F7186" w:rsidTr="000F7186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F7186" w:rsidRPr="009C6BA8" w:rsidRDefault="000F7186" w:rsidP="000F7186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F7186" w:rsidRDefault="000F7186" w:rsidP="000F7186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0F7186" w:rsidRPr="000F7186" w:rsidRDefault="000F7186" w:rsidP="000F718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0F7186">
              <w:rPr>
                <w:rFonts w:eastAsia="新細明體"/>
                <w:color w:val="000000"/>
                <w:kern w:val="0"/>
                <w:sz w:val="23"/>
                <w:szCs w:val="23"/>
              </w:rPr>
              <w:t>2-3-1</w:t>
            </w:r>
            <w:r w:rsidRPr="000F718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認識今昔臺灣的重要人物與事件。</w:t>
            </w:r>
            <w:r w:rsidRPr="000F718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F7186" w:rsidRPr="000F7186" w:rsidRDefault="000F7186" w:rsidP="000F718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0F7186">
              <w:rPr>
                <w:color w:val="000000"/>
                <w:kern w:val="0"/>
                <w:sz w:val="23"/>
                <w:szCs w:val="23"/>
              </w:rPr>
              <w:t>2-3-2</w:t>
            </w:r>
            <w:r w:rsidRPr="000F718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探討臺灣文化的淵源，並欣賞其內涵。</w:t>
            </w:r>
            <w:r w:rsidRPr="000F718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F7186" w:rsidRPr="000F7186" w:rsidRDefault="000F7186" w:rsidP="000F718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0F7186">
              <w:rPr>
                <w:color w:val="000000"/>
                <w:kern w:val="0"/>
                <w:sz w:val="23"/>
                <w:szCs w:val="23"/>
              </w:rPr>
              <w:t>3-3-1</w:t>
            </w:r>
            <w:r w:rsidRPr="000F718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依自己的觀點，對一組事物建立起分類和階層關係。</w:t>
            </w:r>
            <w:r w:rsidRPr="000F718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F7186" w:rsidRPr="000F7186" w:rsidRDefault="000F7186" w:rsidP="000F718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0F7186">
              <w:rPr>
                <w:color w:val="000000"/>
                <w:kern w:val="0"/>
                <w:sz w:val="23"/>
                <w:szCs w:val="23"/>
              </w:rPr>
              <w:t>5-3-1</w:t>
            </w:r>
            <w:r w:rsidRPr="000F718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說明個體的發展與成長，會受到社區與社會等重大的影響。</w:t>
            </w:r>
            <w:r w:rsidRPr="000F718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F7186" w:rsidRPr="000F7186" w:rsidRDefault="000F7186" w:rsidP="000F7186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3"/>
                <w:szCs w:val="23"/>
              </w:rPr>
            </w:pPr>
            <w:r w:rsidRPr="000F7186">
              <w:rPr>
                <w:color w:val="000000"/>
                <w:kern w:val="0"/>
                <w:sz w:val="23"/>
                <w:szCs w:val="23"/>
              </w:rPr>
              <w:t>5-3-2</w:t>
            </w:r>
            <w:r w:rsidRPr="000F718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了解自己有權決定自我的發展，並且可能突破傳統風俗或社會制度的期待與限制。</w:t>
            </w:r>
            <w:r w:rsidRPr="000F7186">
              <w:rPr>
                <w:rFonts w:asci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F7186" w:rsidRPr="005C3648" w:rsidRDefault="000F7186" w:rsidP="000F7186">
            <w:pPr>
              <w:rPr>
                <w:szCs w:val="28"/>
              </w:rPr>
            </w:pPr>
            <w:r w:rsidRPr="000F7186">
              <w:rPr>
                <w:color w:val="000000"/>
                <w:kern w:val="0"/>
                <w:sz w:val="23"/>
                <w:szCs w:val="23"/>
              </w:rPr>
              <w:t>5-3-3</w:t>
            </w:r>
            <w:r w:rsidRPr="000F7186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了解各種角色的特徵、變遷及角色間的互動關係。</w:t>
            </w:r>
          </w:p>
        </w:tc>
      </w:tr>
      <w:tr w:rsidR="000F7186" w:rsidTr="0007771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F7186" w:rsidRPr="00163F20" w:rsidRDefault="000F7186" w:rsidP="000F7186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6" w:rsidRPr="00163F20" w:rsidRDefault="000F7186" w:rsidP="000F7186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0F7186" w:rsidRPr="00BB0C87" w:rsidRDefault="000F7186" w:rsidP="000F7186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F7186" w:rsidTr="0007771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00"/>
            </w:tblGrid>
            <w:tr w:rsidR="005A072E">
              <w:trPr>
                <w:trHeight w:val="2928"/>
              </w:trPr>
              <w:tc>
                <w:tcPr>
                  <w:tcW w:w="7100" w:type="dxa"/>
                </w:tcPr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活動一：「差很大」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1.</w:t>
                  </w:r>
                  <w:r>
                    <w:rPr>
                      <w:rFonts w:hint="eastAsia"/>
                      <w:sz w:val="23"/>
                      <w:szCs w:val="23"/>
                    </w:rPr>
                    <w:t>閱讀：引導學生閱讀課本第</w:t>
                  </w: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30</w:t>
                  </w:r>
                  <w:r>
                    <w:rPr>
                      <w:rFonts w:hint="eastAsia"/>
                      <w:sz w:val="23"/>
                      <w:szCs w:val="23"/>
                    </w:rPr>
                    <w:t>、</w:t>
                  </w: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31</w:t>
                  </w:r>
                  <w:r>
                    <w:rPr>
                      <w:rFonts w:hint="eastAsia"/>
                      <w:sz w:val="23"/>
                      <w:szCs w:val="23"/>
                    </w:rPr>
                    <w:t>頁課文與圖片。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2.</w:t>
                  </w:r>
                  <w:r>
                    <w:rPr>
                      <w:rFonts w:hint="eastAsia"/>
                      <w:sz w:val="23"/>
                      <w:szCs w:val="23"/>
                    </w:rPr>
                    <w:t>觀賞：連結網站「第一憨，種甘蔗給會社磅」，觀賞此部影片。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3.</w:t>
                  </w:r>
                  <w:r>
                    <w:rPr>
                      <w:rFonts w:hint="eastAsia"/>
                      <w:sz w:val="23"/>
                      <w:szCs w:val="23"/>
                    </w:rPr>
                    <w:t>問題與討論：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(1)</w:t>
                  </w:r>
                  <w:r>
                    <w:rPr>
                      <w:rFonts w:hint="eastAsia"/>
                      <w:sz w:val="23"/>
                      <w:szCs w:val="23"/>
                    </w:rPr>
                    <w:t>什麼叫做「歧視」？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答：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歧視是一種針對特定身分者的偏見和不公平的對待。例如：認為某些種族身分是「次等人民」就是一種嚴重的歧視。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(2)</w:t>
                  </w:r>
                  <w:r>
                    <w:rPr>
                      <w:rFonts w:hint="eastAsia"/>
                      <w:sz w:val="23"/>
                      <w:szCs w:val="23"/>
                    </w:rPr>
                    <w:t>日治時期對於臺灣人民的差別待遇可能出現在哪些方面？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答：在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政治上：台灣人只能擔任低階官職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待遇較少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在經濟上：大型企業由日本人控制經營權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在教育上：任本人和臺灣人分別上不同性質的學校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例如台灣人小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lastRenderedPageBreak/>
                    <w:t>孩只能上小學校、日本人可以上公學校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提供日本小孩較好的教育環境。台灣人接受高等教育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也受到限制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只能就讀特定科</w:t>
                  </w:r>
                  <w:r>
                    <w:rPr>
                      <w:color w:val="FF0000"/>
                      <w:sz w:val="23"/>
                      <w:szCs w:val="23"/>
                    </w:rPr>
                    <w:t>(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師範、農林、醫學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) </w:t>
                  </w:r>
                </w:p>
                <w:p w:rsidR="005A072E" w:rsidRDefault="005A072E" w:rsidP="005A072E">
                  <w:pPr>
                    <w:pStyle w:val="Default"/>
                    <w:rPr>
                      <w:rFonts w:ascii="新細明體" w:eastAsia="新細明體" w:cs="新細明體"/>
                      <w:sz w:val="23"/>
                      <w:szCs w:val="23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3"/>
                      <w:szCs w:val="23"/>
                    </w:rPr>
                    <w:t>(3)</w:t>
                  </w:r>
                  <w:r>
                    <w:rPr>
                      <w:rFonts w:hint="eastAsia"/>
                      <w:sz w:val="23"/>
                      <w:szCs w:val="23"/>
                    </w:rPr>
                    <w:t>日本人設計公學校的用意是什麼</w:t>
                  </w:r>
                  <w:r>
                    <w:rPr>
                      <w:rFonts w:ascii="新細明體" w:eastAsia="新細明體" w:cs="新細明體" w:hint="eastAsia"/>
                      <w:sz w:val="23"/>
                      <w:szCs w:val="23"/>
                    </w:rPr>
                    <w:t>？</w:t>
                  </w:r>
                  <w:r>
                    <w:rPr>
                      <w:rFonts w:ascii="新細明體" w:eastAsia="新細明體" w:cs="新細明體"/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日本人對於漢人和原住民都規劃進入「公學校」和「</w:t>
                  </w:r>
                  <w:r w:rsidR="008768E5">
                    <w:rPr>
                      <w:rFonts w:hint="eastAsia"/>
                      <w:color w:val="FF0000"/>
                      <w:sz w:val="23"/>
                      <w:szCs w:val="23"/>
                    </w:rPr>
                    <w:t>蕃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童教育所」就讀。主要學習日語與生活基本知識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例如守時、守法、注意禮節及衛生等教化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以便殖民地統治。在理童教育教室後面有一張日本大地圖和學生穿著日本服飾</w:t>
                  </w:r>
                  <w:r>
                    <w:rPr>
                      <w:rFonts w:ascii="新細明體" w:eastAsia="新細明體" w:cs="新細明體" w:hint="eastAsia"/>
                      <w:color w:val="FF0000"/>
                      <w:sz w:val="23"/>
                      <w:szCs w:val="23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3"/>
                      <w:szCs w:val="23"/>
                    </w:rPr>
                    <w:t>可以略知一二。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A072E">
                    <w:rPr>
                      <w:rFonts w:hint="eastAsia"/>
                      <w:sz w:val="23"/>
                      <w:szCs w:val="23"/>
                    </w:rPr>
                    <w:t>4.統整</w:t>
                  </w:r>
                </w:p>
                <w:p w:rsid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(1)</w:t>
                  </w:r>
                  <w:r>
                    <w:rPr>
                      <w:rFonts w:hint="eastAsia"/>
                      <w:sz w:val="23"/>
                      <w:szCs w:val="23"/>
                    </w:rPr>
                    <w:t>日本在臺灣的殖民統治，由於種族歧視的霸權心態，以至於在許多作為上形成差別待遇，這種不公平的對待，讓臺灣人長期處在受壓迫的環境下生活。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A072E" w:rsidRPr="005A072E" w:rsidRDefault="005A072E" w:rsidP="005A07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(2)</w:t>
                  </w:r>
                  <w:r>
                    <w:rPr>
                      <w:rFonts w:hint="eastAsia"/>
                      <w:sz w:val="23"/>
                      <w:szCs w:val="23"/>
                    </w:rPr>
                    <w:t>日本人以統治者的文化和優越感，試圖要同化不同的種族和人民，可以說是忽略了對多元文化應有的尊重與包容。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0"/>
                    <w:gridCol w:w="900"/>
                  </w:tblGrid>
                  <w:tr w:rsidR="005A072E" w:rsidRPr="005A072E" w:rsidTr="00C463BB">
                    <w:trPr>
                      <w:trHeight w:val="122"/>
                    </w:trPr>
                    <w:tc>
                      <w:tcPr>
                        <w:tcW w:w="900" w:type="dxa"/>
                      </w:tcPr>
                      <w:p w:rsidR="005A072E" w:rsidRPr="005A072E" w:rsidRDefault="005A072E" w:rsidP="005A072E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5A072E" w:rsidRPr="005A072E" w:rsidRDefault="005A072E" w:rsidP="005A072E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5A072E" w:rsidRDefault="005A072E" w:rsidP="005A072E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:rsidR="000F7186" w:rsidRPr="005A072E" w:rsidRDefault="000F7186" w:rsidP="000F7186"/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0F7186" w:rsidRDefault="000F7186" w:rsidP="000F7186">
            <w:pPr>
              <w:rPr>
                <w:rFonts w:ascii="標楷體"/>
                <w:color w:val="000000"/>
              </w:rPr>
            </w:pP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口頭報告</w:t>
            </w: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分組討論</w:t>
            </w:r>
            <w:r w:rsidR="0007771B">
              <w:rPr>
                <w:rFonts w:ascii="標楷體" w:hint="eastAsia"/>
                <w:color w:val="000000"/>
              </w:rPr>
              <w:t>並上台發表</w:t>
            </w: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分組討論並上台發表</w:t>
            </w: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分組討論並上台發表</w:t>
            </w: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0F7186" w:rsidRDefault="000F7186" w:rsidP="000F7186">
            <w:pPr>
              <w:rPr>
                <w:rFonts w:ascii="標楷體"/>
                <w:color w:val="000000"/>
              </w:rPr>
            </w:pP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5分鐘</w:t>
            </w: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5A072E" w:rsidRDefault="005A072E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5分鐘</w:t>
            </w: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10分鐘</w:t>
            </w: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8768E5" w:rsidRDefault="008768E5" w:rsidP="000F7186">
            <w:pPr>
              <w:rPr>
                <w:rFonts w:ascii="標楷體"/>
                <w:color w:val="000000"/>
              </w:rPr>
            </w:pPr>
          </w:p>
          <w:p w:rsidR="008768E5" w:rsidRDefault="008768E5" w:rsidP="000F7186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</w:t>
            </w:r>
            <w:r w:rsidR="005C68B1">
              <w:rPr>
                <w:rFonts w:ascii="標楷體" w:hint="eastAsia"/>
                <w:color w:val="000000"/>
              </w:rPr>
              <w:t>0</w:t>
            </w:r>
            <w:r>
              <w:rPr>
                <w:rFonts w:ascii="標楷體" w:hint="eastAsia"/>
                <w:color w:val="000000"/>
              </w:rPr>
              <w:t>分鐘</w:t>
            </w:r>
          </w:p>
          <w:p w:rsidR="005C68B1" w:rsidRDefault="005C68B1" w:rsidP="000F7186">
            <w:pPr>
              <w:rPr>
                <w:rFonts w:ascii="標楷體"/>
                <w:color w:val="000000"/>
              </w:rPr>
            </w:pPr>
          </w:p>
          <w:p w:rsidR="005C68B1" w:rsidRDefault="005C68B1" w:rsidP="000F7186">
            <w:pPr>
              <w:rPr>
                <w:rFonts w:ascii="標楷體"/>
                <w:color w:val="000000"/>
              </w:rPr>
            </w:pPr>
          </w:p>
          <w:p w:rsidR="005C68B1" w:rsidRDefault="005C68B1" w:rsidP="000F7186">
            <w:pPr>
              <w:rPr>
                <w:rFonts w:ascii="標楷體"/>
                <w:color w:val="000000"/>
              </w:rPr>
            </w:pPr>
          </w:p>
          <w:p w:rsidR="005C68B1" w:rsidRDefault="005C68B1" w:rsidP="000F7186">
            <w:pPr>
              <w:rPr>
                <w:rFonts w:ascii="標楷體"/>
                <w:color w:val="000000"/>
              </w:rPr>
            </w:pPr>
          </w:p>
          <w:p w:rsidR="005C68B1" w:rsidRDefault="005C68B1" w:rsidP="000F7186">
            <w:pPr>
              <w:rPr>
                <w:rFonts w:ascii="標楷體"/>
                <w:color w:val="000000"/>
              </w:rPr>
            </w:pPr>
          </w:p>
          <w:p w:rsidR="005C68B1" w:rsidRDefault="005C68B1" w:rsidP="000F7186">
            <w:pPr>
              <w:rPr>
                <w:rFonts w:ascii="標楷體"/>
                <w:color w:val="000000"/>
              </w:rPr>
            </w:pPr>
          </w:p>
          <w:p w:rsidR="005C68B1" w:rsidRDefault="005C68B1" w:rsidP="000F7186">
            <w:pPr>
              <w:rPr>
                <w:rFonts w:ascii="標楷體" w:hint="eastAsia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10分鐘</w:t>
            </w: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  <w:p w:rsidR="0007771B" w:rsidRDefault="0007771B" w:rsidP="000F7186">
            <w:pPr>
              <w:rPr>
                <w:rFonts w:ascii="標楷體"/>
                <w:color w:val="000000"/>
              </w:rPr>
            </w:pPr>
          </w:p>
        </w:tc>
      </w:tr>
    </w:tbl>
    <w:p w:rsidR="00833D16" w:rsidRDefault="00833D16" w:rsidP="00EC3AD5">
      <w:pPr>
        <w:ind w:right="960"/>
      </w:pPr>
    </w:p>
    <w:p w:rsidR="00477710" w:rsidRDefault="00477710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</w:p>
    <w:p w:rsidR="005C68B1" w:rsidRDefault="005C68B1" w:rsidP="007A295E">
      <w:pPr>
        <w:widowControl/>
      </w:pPr>
      <w:bookmarkStart w:id="0" w:name="_GoBack"/>
      <w:bookmarkEnd w:id="0"/>
    </w:p>
    <w:sectPr w:rsidR="005C68B1" w:rsidSect="0012482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5A" w:rsidRDefault="008B395A">
      <w:r>
        <w:separator/>
      </w:r>
    </w:p>
  </w:endnote>
  <w:endnote w:type="continuationSeparator" w:id="0">
    <w:p w:rsidR="008B395A" w:rsidRDefault="008B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E8" w:rsidRDefault="006E06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E8" w:rsidRDefault="006E06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295E">
      <w:rPr>
        <w:rStyle w:val="a6"/>
        <w:noProof/>
      </w:rPr>
      <w:t>1</w: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5A" w:rsidRDefault="008B395A">
      <w:r>
        <w:separator/>
      </w:r>
    </w:p>
  </w:footnote>
  <w:footnote w:type="continuationSeparator" w:id="0">
    <w:p w:rsidR="008B395A" w:rsidRDefault="008B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66" w:rsidRPr="002B0D66" w:rsidRDefault="00A27094" w:rsidP="002B0D66">
    <w:pPr>
      <w:pStyle w:val="ab"/>
      <w:jc w:val="right"/>
      <w:rPr>
        <w:rFonts w:asciiTheme="minorEastAsia" w:eastAsiaTheme="minorEastAsia" w:hAnsiTheme="minorEastAsia"/>
        <w:b/>
        <w:color w:val="000000"/>
      </w:rPr>
    </w:pPr>
    <w:r>
      <w:rPr>
        <w:rFonts w:asciiTheme="minorEastAsia" w:eastAsiaTheme="minorEastAsia" w:hAnsiTheme="minorEastAsia" w:hint="eastAsia"/>
        <w:b/>
        <w:color w:val="000000"/>
        <w:lang w:eastAsia="zh-TW"/>
      </w:rPr>
      <w:t>和平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國小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 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教學活動設計簡案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  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授課班級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: </w:t>
    </w:r>
    <w:r>
      <w:rPr>
        <w:rFonts w:asciiTheme="minorEastAsia" w:eastAsiaTheme="minorEastAsia" w:hAnsiTheme="minorEastAsia" w:hint="eastAsia"/>
        <w:b/>
        <w:color w:val="000000"/>
        <w:lang w:eastAsia="zh-TW"/>
      </w:rPr>
      <w:t>五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年</w:t>
    </w:r>
    <w:r>
      <w:rPr>
        <w:rFonts w:asciiTheme="minorEastAsia" w:eastAsiaTheme="minorEastAsia" w:hAnsiTheme="minorEastAsia" w:hint="eastAsia"/>
        <w:b/>
        <w:color w:val="000000"/>
        <w:lang w:eastAsia="zh-TW"/>
      </w:rPr>
      <w:t>甲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1A0AEB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C56F95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3A8152B"/>
    <w:multiLevelType w:val="hybridMultilevel"/>
    <w:tmpl w:val="792C1DB4"/>
    <w:lvl w:ilvl="0" w:tplc="16565056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3"/>
  </w:num>
  <w:num w:numId="5">
    <w:abstractNumId w:val="0"/>
  </w:num>
  <w:num w:numId="6">
    <w:abstractNumId w:val="25"/>
  </w:num>
  <w:num w:numId="7">
    <w:abstractNumId w:val="23"/>
  </w:num>
  <w:num w:numId="8">
    <w:abstractNumId w:val="7"/>
  </w:num>
  <w:num w:numId="9">
    <w:abstractNumId w:val="26"/>
  </w:num>
  <w:num w:numId="10">
    <w:abstractNumId w:val="17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19"/>
  </w:num>
  <w:num w:numId="20">
    <w:abstractNumId w:val="24"/>
  </w:num>
  <w:num w:numId="21">
    <w:abstractNumId w:val="5"/>
  </w:num>
  <w:num w:numId="22">
    <w:abstractNumId w:val="6"/>
  </w:num>
  <w:num w:numId="23">
    <w:abstractNumId w:val="14"/>
  </w:num>
  <w:num w:numId="24">
    <w:abstractNumId w:val="1"/>
  </w:num>
  <w:num w:numId="25">
    <w:abstractNumId w:val="1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20"/>
    <w:rsid w:val="00002E57"/>
    <w:rsid w:val="000144CE"/>
    <w:rsid w:val="000204F8"/>
    <w:rsid w:val="00037AE9"/>
    <w:rsid w:val="00041DA4"/>
    <w:rsid w:val="0004436A"/>
    <w:rsid w:val="0004550B"/>
    <w:rsid w:val="000552C8"/>
    <w:rsid w:val="00056120"/>
    <w:rsid w:val="000762E1"/>
    <w:rsid w:val="0007771B"/>
    <w:rsid w:val="000933A5"/>
    <w:rsid w:val="000A0641"/>
    <w:rsid w:val="000B435E"/>
    <w:rsid w:val="000D35C0"/>
    <w:rsid w:val="000E598A"/>
    <w:rsid w:val="000E642C"/>
    <w:rsid w:val="000F7186"/>
    <w:rsid w:val="00105801"/>
    <w:rsid w:val="00106DDB"/>
    <w:rsid w:val="00107BEC"/>
    <w:rsid w:val="00112BE0"/>
    <w:rsid w:val="001224B3"/>
    <w:rsid w:val="00124820"/>
    <w:rsid w:val="001264E0"/>
    <w:rsid w:val="001636CF"/>
    <w:rsid w:val="00163F20"/>
    <w:rsid w:val="001710B7"/>
    <w:rsid w:val="001902D7"/>
    <w:rsid w:val="00195C2A"/>
    <w:rsid w:val="001A6E91"/>
    <w:rsid w:val="001D1983"/>
    <w:rsid w:val="001D7073"/>
    <w:rsid w:val="002003D1"/>
    <w:rsid w:val="002119F2"/>
    <w:rsid w:val="00223856"/>
    <w:rsid w:val="00236D5E"/>
    <w:rsid w:val="00256F2F"/>
    <w:rsid w:val="00272DC0"/>
    <w:rsid w:val="00276A2D"/>
    <w:rsid w:val="002B0D66"/>
    <w:rsid w:val="002B32D9"/>
    <w:rsid w:val="002D1BB1"/>
    <w:rsid w:val="002E76C8"/>
    <w:rsid w:val="002F2E87"/>
    <w:rsid w:val="00303D9C"/>
    <w:rsid w:val="0032007D"/>
    <w:rsid w:val="00320BDE"/>
    <w:rsid w:val="00323196"/>
    <w:rsid w:val="00351850"/>
    <w:rsid w:val="0035691E"/>
    <w:rsid w:val="0037178C"/>
    <w:rsid w:val="00372A1E"/>
    <w:rsid w:val="003740BC"/>
    <w:rsid w:val="003A2F98"/>
    <w:rsid w:val="003A4143"/>
    <w:rsid w:val="003B0148"/>
    <w:rsid w:val="003B61A2"/>
    <w:rsid w:val="003D31E0"/>
    <w:rsid w:val="003D7B01"/>
    <w:rsid w:val="003F223C"/>
    <w:rsid w:val="003F6915"/>
    <w:rsid w:val="00415CE1"/>
    <w:rsid w:val="00415D37"/>
    <w:rsid w:val="004239A8"/>
    <w:rsid w:val="004320A0"/>
    <w:rsid w:val="004348A6"/>
    <w:rsid w:val="004678EC"/>
    <w:rsid w:val="00477710"/>
    <w:rsid w:val="0049554A"/>
    <w:rsid w:val="004A73C4"/>
    <w:rsid w:val="004B3224"/>
    <w:rsid w:val="004D4ADD"/>
    <w:rsid w:val="004D4FEA"/>
    <w:rsid w:val="004E2C0C"/>
    <w:rsid w:val="004E7F42"/>
    <w:rsid w:val="004F0360"/>
    <w:rsid w:val="004F6D2B"/>
    <w:rsid w:val="005311F9"/>
    <w:rsid w:val="005554E7"/>
    <w:rsid w:val="00562479"/>
    <w:rsid w:val="00567230"/>
    <w:rsid w:val="00571699"/>
    <w:rsid w:val="005822B9"/>
    <w:rsid w:val="00582D00"/>
    <w:rsid w:val="005A072E"/>
    <w:rsid w:val="005C3648"/>
    <w:rsid w:val="005C68B1"/>
    <w:rsid w:val="0060753D"/>
    <w:rsid w:val="00615647"/>
    <w:rsid w:val="006220BC"/>
    <w:rsid w:val="0062462B"/>
    <w:rsid w:val="006503AC"/>
    <w:rsid w:val="00652E01"/>
    <w:rsid w:val="00677794"/>
    <w:rsid w:val="00681338"/>
    <w:rsid w:val="0068345A"/>
    <w:rsid w:val="006854A0"/>
    <w:rsid w:val="006B0AB9"/>
    <w:rsid w:val="006B306E"/>
    <w:rsid w:val="006B606D"/>
    <w:rsid w:val="006C611A"/>
    <w:rsid w:val="006D1ECF"/>
    <w:rsid w:val="006E06E8"/>
    <w:rsid w:val="006F3970"/>
    <w:rsid w:val="0070093B"/>
    <w:rsid w:val="007211A3"/>
    <w:rsid w:val="0072788C"/>
    <w:rsid w:val="00730C2D"/>
    <w:rsid w:val="00741667"/>
    <w:rsid w:val="0074332A"/>
    <w:rsid w:val="007464BB"/>
    <w:rsid w:val="0078223F"/>
    <w:rsid w:val="00793EF7"/>
    <w:rsid w:val="007A295E"/>
    <w:rsid w:val="007C3F23"/>
    <w:rsid w:val="007C5248"/>
    <w:rsid w:val="007D1C1E"/>
    <w:rsid w:val="007F0E67"/>
    <w:rsid w:val="007F345D"/>
    <w:rsid w:val="0080489C"/>
    <w:rsid w:val="00810327"/>
    <w:rsid w:val="00810DB7"/>
    <w:rsid w:val="008125A7"/>
    <w:rsid w:val="00816686"/>
    <w:rsid w:val="00827916"/>
    <w:rsid w:val="00830373"/>
    <w:rsid w:val="00833D16"/>
    <w:rsid w:val="00840E77"/>
    <w:rsid w:val="0086168F"/>
    <w:rsid w:val="00870CC4"/>
    <w:rsid w:val="008768E5"/>
    <w:rsid w:val="00895386"/>
    <w:rsid w:val="008B395A"/>
    <w:rsid w:val="008B6384"/>
    <w:rsid w:val="008C3FCD"/>
    <w:rsid w:val="008D7414"/>
    <w:rsid w:val="008E57E0"/>
    <w:rsid w:val="008F53F5"/>
    <w:rsid w:val="0091205E"/>
    <w:rsid w:val="00913DAA"/>
    <w:rsid w:val="00985F35"/>
    <w:rsid w:val="00986AAD"/>
    <w:rsid w:val="00997347"/>
    <w:rsid w:val="009A46BF"/>
    <w:rsid w:val="009B7E8D"/>
    <w:rsid w:val="009C6BA8"/>
    <w:rsid w:val="009D055E"/>
    <w:rsid w:val="009D7701"/>
    <w:rsid w:val="009F5606"/>
    <w:rsid w:val="009F66AA"/>
    <w:rsid w:val="00A023A3"/>
    <w:rsid w:val="00A20137"/>
    <w:rsid w:val="00A260A7"/>
    <w:rsid w:val="00A27094"/>
    <w:rsid w:val="00A56CAF"/>
    <w:rsid w:val="00A63669"/>
    <w:rsid w:val="00A670A8"/>
    <w:rsid w:val="00A74A52"/>
    <w:rsid w:val="00A75439"/>
    <w:rsid w:val="00A75ECE"/>
    <w:rsid w:val="00A76CF0"/>
    <w:rsid w:val="00A87B53"/>
    <w:rsid w:val="00AB158F"/>
    <w:rsid w:val="00AC4DC8"/>
    <w:rsid w:val="00AC7E10"/>
    <w:rsid w:val="00AE01FC"/>
    <w:rsid w:val="00AE4845"/>
    <w:rsid w:val="00AF5459"/>
    <w:rsid w:val="00B36173"/>
    <w:rsid w:val="00B37726"/>
    <w:rsid w:val="00B45CF7"/>
    <w:rsid w:val="00B468BB"/>
    <w:rsid w:val="00B66D07"/>
    <w:rsid w:val="00B8077F"/>
    <w:rsid w:val="00B96950"/>
    <w:rsid w:val="00BA1581"/>
    <w:rsid w:val="00BB0C87"/>
    <w:rsid w:val="00BC67A5"/>
    <w:rsid w:val="00BD69A7"/>
    <w:rsid w:val="00BE0B65"/>
    <w:rsid w:val="00BF0029"/>
    <w:rsid w:val="00BF4650"/>
    <w:rsid w:val="00C109A4"/>
    <w:rsid w:val="00C10B82"/>
    <w:rsid w:val="00C46C55"/>
    <w:rsid w:val="00C52F6C"/>
    <w:rsid w:val="00C559E1"/>
    <w:rsid w:val="00C9269B"/>
    <w:rsid w:val="00CA3F44"/>
    <w:rsid w:val="00CB0B5C"/>
    <w:rsid w:val="00CB3DF7"/>
    <w:rsid w:val="00CB611F"/>
    <w:rsid w:val="00CD0CEC"/>
    <w:rsid w:val="00CD3DD4"/>
    <w:rsid w:val="00CE00FF"/>
    <w:rsid w:val="00CE4867"/>
    <w:rsid w:val="00CF0310"/>
    <w:rsid w:val="00D06082"/>
    <w:rsid w:val="00D254BA"/>
    <w:rsid w:val="00D254DD"/>
    <w:rsid w:val="00D7498B"/>
    <w:rsid w:val="00D95214"/>
    <w:rsid w:val="00D95BEA"/>
    <w:rsid w:val="00D968F6"/>
    <w:rsid w:val="00DB0901"/>
    <w:rsid w:val="00DC15D6"/>
    <w:rsid w:val="00DC796D"/>
    <w:rsid w:val="00DF0B9E"/>
    <w:rsid w:val="00DF5BC1"/>
    <w:rsid w:val="00DF6F16"/>
    <w:rsid w:val="00E030A5"/>
    <w:rsid w:val="00E3013C"/>
    <w:rsid w:val="00E357CC"/>
    <w:rsid w:val="00E35EC6"/>
    <w:rsid w:val="00E37A3B"/>
    <w:rsid w:val="00E46B48"/>
    <w:rsid w:val="00E530FE"/>
    <w:rsid w:val="00E709FF"/>
    <w:rsid w:val="00E7317B"/>
    <w:rsid w:val="00EA2720"/>
    <w:rsid w:val="00EA3A36"/>
    <w:rsid w:val="00EA7ADC"/>
    <w:rsid w:val="00EB482C"/>
    <w:rsid w:val="00EC18BD"/>
    <w:rsid w:val="00EC3AD5"/>
    <w:rsid w:val="00ED165D"/>
    <w:rsid w:val="00EE1AC8"/>
    <w:rsid w:val="00EF2AA9"/>
    <w:rsid w:val="00F24175"/>
    <w:rsid w:val="00F340CB"/>
    <w:rsid w:val="00F57BC7"/>
    <w:rsid w:val="00F7109C"/>
    <w:rsid w:val="00F96DC6"/>
    <w:rsid w:val="00FB6850"/>
    <w:rsid w:val="00FC095F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FC0F0"/>
  <w15:chartTrackingRefBased/>
  <w15:docId w15:val="{E1A25166-2C36-4BE8-AF16-5B9D76E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95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nhideWhenUsed/>
    <w:rsid w:val="002D1B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2D1BB1"/>
    <w:rPr>
      <w:kern w:val="2"/>
    </w:rPr>
  </w:style>
  <w:style w:type="paragraph" w:customStyle="1" w:styleId="Default">
    <w:name w:val="Default"/>
    <w:rsid w:val="000F71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5C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F01C-985A-42C0-B97D-69CBD936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subject/>
  <dc:creator>a</dc:creator>
  <cp:keywords/>
  <cp:lastModifiedBy>楊芳萍</cp:lastModifiedBy>
  <cp:revision>6</cp:revision>
  <cp:lastPrinted>2015-04-02T06:22:00Z</cp:lastPrinted>
  <dcterms:created xsi:type="dcterms:W3CDTF">2023-03-01T01:40:00Z</dcterms:created>
  <dcterms:modified xsi:type="dcterms:W3CDTF">2023-03-01T02:53:00Z</dcterms:modified>
</cp:coreProperties>
</file>