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CD" w:rsidRPr="007D5F59" w:rsidRDefault="008C0DCD" w:rsidP="008C0DC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8C0DCD" w:rsidRPr="00A23363" w:rsidRDefault="00A23363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233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A23363">
              <w:rPr>
                <w:rFonts w:ascii="微軟正黑體" w:eastAsia="微軟正黑體" w:hAnsi="微軟正黑體" w:cs="Times New Roman"/>
                <w:sz w:val="24"/>
                <w:szCs w:val="24"/>
              </w:rPr>
              <w:t>023</w:t>
            </w:r>
            <w:r w:rsidRPr="00A233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</w:t>
            </w:r>
            <w:r w:rsidRPr="00A23363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Pr="00A2336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月7日第五節</w:t>
            </w:r>
          </w:p>
        </w:tc>
        <w:tc>
          <w:tcPr>
            <w:tcW w:w="1242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8C0DCD" w:rsidRPr="002C615F" w:rsidRDefault="002C615F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C61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五年三班</w:t>
            </w:r>
          </w:p>
        </w:tc>
      </w:tr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8C0DCD" w:rsidRPr="002C615F" w:rsidRDefault="002C615F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C615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本土語文-閩南語</w:t>
            </w:r>
            <w:r w:rsidR="005A48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文</w:t>
            </w:r>
          </w:p>
        </w:tc>
        <w:tc>
          <w:tcPr>
            <w:tcW w:w="1242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36DA4" w:rsidRPr="00336DA4" w:rsidRDefault="00336DA4" w:rsidP="00336DA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36DA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第三課燒冷冰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(真平版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</w:tc>
      </w:tr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8C0DCD" w:rsidRPr="00336DA4" w:rsidRDefault="00336DA4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36DA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陳明芳</w:t>
            </w:r>
          </w:p>
        </w:tc>
        <w:tc>
          <w:tcPr>
            <w:tcW w:w="1134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8C0DCD" w:rsidRPr="00612D77" w:rsidRDefault="00336DA4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傅盈勳</w:t>
            </w:r>
          </w:p>
        </w:tc>
        <w:tc>
          <w:tcPr>
            <w:tcW w:w="2162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8C0DCD" w:rsidRPr="00336DA4" w:rsidRDefault="00336DA4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36DA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336DA4">
              <w:rPr>
                <w:rFonts w:ascii="微軟正黑體" w:eastAsia="微軟正黑體" w:hAnsi="微軟正黑體" w:cs="Times New Roman"/>
                <w:sz w:val="24"/>
                <w:szCs w:val="24"/>
              </w:rPr>
              <w:t>1/8</w:t>
            </w:r>
            <w:r w:rsidRPr="00336DA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第一節</w:t>
            </w:r>
          </w:p>
        </w:tc>
      </w:tr>
      <w:tr w:rsidR="008C0DCD" w:rsidRPr="007D5F59" w:rsidTr="008935D7">
        <w:tc>
          <w:tcPr>
            <w:tcW w:w="9912" w:type="dxa"/>
            <w:gridSpan w:val="7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8C0DCD" w:rsidRPr="00612D77" w:rsidRDefault="008A0705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真平語文閩南語第9冊第三課燒冷冰</w:t>
            </w: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8A0705" w:rsidRPr="005A1680" w:rsidRDefault="008A0705" w:rsidP="008A07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一、</w:t>
            </w:r>
            <w:r w:rsidRPr="005A1680">
              <w:rPr>
                <w:rFonts w:ascii="Times New Roman" w:eastAsia="華康細圓體" w:hAnsi="華康細圓體" w:hint="eastAsia"/>
                <w:color w:val="000000"/>
                <w:sz w:val="22"/>
              </w:rPr>
              <w:t>能說出課本所列點心及手部動作的語詞，並於生活中運用。</w:t>
            </w:r>
          </w:p>
          <w:p w:rsidR="008C0DCD" w:rsidRPr="00612D77" w:rsidRDefault="008A0705" w:rsidP="008A070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二、</w:t>
            </w:r>
            <w:r w:rsidRPr="005A1680">
              <w:rPr>
                <w:rFonts w:ascii="Times New Roman" w:eastAsia="華康細圓體" w:hAnsi="華康細圓體" w:hint="eastAsia"/>
                <w:color w:val="000000"/>
                <w:sz w:val="22"/>
              </w:rPr>
              <w:t>能習得課本所列對話，並適時於生活中運用。</w:t>
            </w:r>
            <w:r w:rsidR="008C0DCD"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8A0705" w:rsidRPr="008C7CA3" w:rsidRDefault="008A0705" w:rsidP="008A0705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2"/>
              </w:rPr>
            </w:pPr>
            <w:r w:rsidRPr="008C7CA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【輕鬆學語詞】</w:t>
            </w:r>
          </w:p>
          <w:p w:rsidR="008A0705" w:rsidRPr="008C7CA3" w:rsidRDefault="008A0705" w:rsidP="008A0705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2"/>
              </w:rPr>
            </w:pPr>
            <w:r w:rsidRPr="008C7CA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一、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熟讀</w:t>
            </w:r>
            <w:r w:rsidRPr="008C7CA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語詞</w:t>
            </w:r>
          </w:p>
          <w:p w:rsidR="008A0705" w:rsidRPr="008C7CA3" w:rsidRDefault="008A0705" w:rsidP="008A0705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C7CA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(一</w:t>
            </w:r>
            <w:r w:rsidRPr="008C7CA3">
              <w:rPr>
                <w:rFonts w:asciiTheme="majorEastAsia" w:eastAsiaTheme="majorEastAsia" w:hAnsiTheme="majorEastAsia"/>
                <w:color w:val="000000"/>
                <w:sz w:val="22"/>
              </w:rPr>
              <w:t>)</w:t>
            </w:r>
            <w:r w:rsidRPr="008C7CA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老師帶領學生逐詞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複習語詞</w:t>
            </w:r>
            <w:r w:rsidRPr="008C7CA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法</w:t>
            </w:r>
            <w:r w:rsidRPr="008C7CA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，並指正學生易誤讀的音讀與聲調。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8C7CA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(二</w:t>
            </w:r>
            <w:r w:rsidRPr="008C7CA3">
              <w:rPr>
                <w:rFonts w:asciiTheme="majorEastAsia" w:eastAsiaTheme="majorEastAsia" w:hAnsiTheme="majorEastAsia"/>
                <w:color w:val="000000"/>
                <w:sz w:val="22"/>
              </w:rPr>
              <w:t>)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熟讀語詞：兩兩語詞為一組(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詞與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，老師讀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詞，學生就讀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詞，老師讀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詞，學生就讀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詞。例：老師讀</w:t>
            </w:r>
            <w:r w:rsidRPr="00222820">
              <w:rPr>
                <w:rFonts w:hint="eastAsia"/>
                <w:color w:val="000000"/>
                <w:sz w:val="22"/>
              </w:rPr>
              <w:t>綠豆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，學生就讀</w:t>
            </w:r>
            <w:r w:rsidRPr="00222820">
              <w:rPr>
                <w:rFonts w:hint="eastAsia"/>
                <w:color w:val="000000"/>
                <w:sz w:val="22"/>
              </w:rPr>
              <w:t>紅豆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；老師讀</w:t>
            </w:r>
            <w:r w:rsidRPr="00222820">
              <w:rPr>
                <w:rFonts w:hint="eastAsia"/>
                <w:color w:val="000000"/>
                <w:sz w:val="22"/>
              </w:rPr>
              <w:t>芋仔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，學生就讀</w:t>
            </w:r>
            <w:r w:rsidRPr="00222820">
              <w:rPr>
                <w:rFonts w:hint="eastAsia"/>
                <w:color w:val="000000"/>
                <w:sz w:val="22"/>
              </w:rPr>
              <w:t>芋圓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……</w:t>
            </w:r>
          </w:p>
          <w:p w:rsidR="008A0705" w:rsidRPr="00694BC2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二、</w:t>
            </w:r>
            <w:r w:rsidRPr="008C7CA3">
              <w:rPr>
                <w:rFonts w:hint="eastAsia"/>
                <w:b/>
                <w:color w:val="000000"/>
                <w:sz w:val="22"/>
              </w:rPr>
              <w:t>礤冰配料</w:t>
            </w:r>
            <w:r>
              <w:rPr>
                <w:rFonts w:hint="eastAsia"/>
                <w:b/>
                <w:color w:val="000000"/>
                <w:sz w:val="22"/>
              </w:rPr>
              <w:t>：</w:t>
            </w:r>
            <w:r w:rsidRPr="0016592E">
              <w:rPr>
                <w:rFonts w:hint="eastAsia"/>
                <w:color w:val="000000"/>
                <w:sz w:val="22"/>
              </w:rPr>
              <w:t>塗豆、</w:t>
            </w:r>
            <w:r w:rsidRPr="00740A5D">
              <w:rPr>
                <w:rFonts w:ascii="台灣楷體" w:eastAsia="台灣楷體" w:hAnsi="台灣楷體" w:hint="eastAsia"/>
                <w:color w:val="000000"/>
                <w:sz w:val="22"/>
              </w:rPr>
              <w:t>綠豆、紅豆、花豆、芋仔、芋圓、仙草、粉粿、米篩目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一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老師選出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位學生分別自選擔任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種配料之其一，並且請各學生在黑板寫下語詞閩南語漢字。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二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請一位學生擔任顧客來口說點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種配料，被點到配料的學生向前一步，並回座位。再請下一位學生擔任顧客，直到配料點完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共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-5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位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。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三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老師再選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位學生分別自選擔任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9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種配料之其一，並請學生在上一輪同學黑板上寫的漢字下方寫下臺羅拼音，並擦掉漢字。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四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請一位學生擔任顧客，到黑板圈出要點的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種配料之臺羅拼音，被圈到配料的同學向前一步，口說出自己配料讀音，並回座位。再請下一位學生擔任顧客，直到配料點完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共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-5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位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。</w:t>
            </w:r>
          </w:p>
          <w:p w:rsidR="008A0705" w:rsidRPr="00671F7D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 w:rsidRPr="00671F7D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三、統整活動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老師再帶領學生用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A B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詞組方式，複習本課語詞讀法。</w:t>
            </w: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8A0705" w:rsidRPr="007D3479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7D3479">
              <w:rPr>
                <w:rFonts w:ascii="Times New Roman" w:eastAsia="華康細圓體" w:hAnsi="華康細圓體"/>
                <w:color w:val="000000"/>
                <w:sz w:val="22"/>
              </w:rPr>
              <w:t>態度、</w:t>
            </w:r>
            <w:r w:rsidRPr="007D3479">
              <w:rPr>
                <w:rFonts w:ascii="Times New Roman" w:eastAsia="華康細圓體" w:hAnsi="華康細圓體" w:hint="eastAsia"/>
                <w:color w:val="000000"/>
                <w:sz w:val="22"/>
              </w:rPr>
              <w:t>漢字、臺羅拼音、口說書寫</w:t>
            </w:r>
            <w:r w:rsidRPr="007D3479">
              <w:rPr>
                <w:rFonts w:ascii="Times New Roman" w:eastAsia="華康細圓體" w:hAnsi="華康細圓體"/>
                <w:color w:val="000000"/>
                <w:sz w:val="22"/>
              </w:rPr>
              <w:t>評量</w:t>
            </w:r>
          </w:p>
          <w:p w:rsidR="008A0705" w:rsidRPr="00F35B68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7D3479">
              <w:rPr>
                <w:rFonts w:ascii="Times New Roman" w:eastAsia="華康細圓體" w:hAnsi="華康細圓體"/>
                <w:color w:val="000000"/>
                <w:sz w:val="22"/>
              </w:rPr>
              <w:t>1.</w:t>
            </w:r>
            <w:r w:rsidRPr="007D3479">
              <w:rPr>
                <w:rFonts w:ascii="Times New Roman" w:eastAsia="華康細圓體" w:hAnsi="華康細圓體"/>
                <w:color w:val="000000"/>
                <w:sz w:val="22"/>
              </w:rPr>
              <w:t>能積極參與</w:t>
            </w:r>
            <w:r w:rsidRPr="00F35B68">
              <w:rPr>
                <w:rFonts w:ascii="Times New Roman" w:eastAsia="華康細圓體" w:hAnsi="華康細圓體"/>
                <w:color w:val="000000"/>
                <w:sz w:val="22"/>
              </w:rPr>
              <w:t>課程活動。</w:t>
            </w:r>
          </w:p>
          <w:p w:rsidR="008A0705" w:rsidRDefault="008A0705" w:rsidP="008A0705">
            <w:pPr>
              <w:snapToGrid w:val="0"/>
              <w:spacing w:line="36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2.</w:t>
            </w: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能正確書寫漢字及臺羅拼音。</w:t>
            </w:r>
          </w:p>
          <w:p w:rsidR="008C0DCD" w:rsidRPr="00612D77" w:rsidRDefault="008A0705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3</w:t>
            </w:r>
            <w:r>
              <w:rPr>
                <w:rFonts w:ascii="Times New Roman" w:eastAsia="華康細圓體" w:hAnsi="華康細圓體"/>
                <w:color w:val="000000"/>
                <w:sz w:val="22"/>
              </w:rPr>
              <w:t>.</w:t>
            </w: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能正確讀出語詞讀音與聲調。</w:t>
            </w: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8C0DCD" w:rsidRPr="00612D77" w:rsidRDefault="008A0705" w:rsidP="008A070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8A070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實作練習</w:t>
            </w:r>
          </w:p>
        </w:tc>
      </w:tr>
    </w:tbl>
    <w:p w:rsidR="008C0DCD" w:rsidRPr="007D5F59" w:rsidRDefault="008C0DCD" w:rsidP="008C0DCD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8C0DCD" w:rsidRPr="007D5F59" w:rsidRDefault="008C0DCD" w:rsidP="008C0DCD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A0705">
        <w:rPr>
          <w:rFonts w:ascii="微軟正黑體" w:eastAsia="微軟正黑體" w:hAnsi="微軟正黑體" w:cs="Times New Roman" w:hint="eastAsia"/>
          <w:b/>
          <w:sz w:val="24"/>
          <w:szCs w:val="24"/>
        </w:rPr>
        <w:t>陳明芳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觀課教師：</w:t>
      </w:r>
      <w:r w:rsidR="008A0705">
        <w:rPr>
          <w:rFonts w:ascii="微軟正黑體" w:eastAsia="微軟正黑體" w:hAnsi="微軟正黑體" w:cs="Times New Roman" w:hint="eastAsia"/>
          <w:b/>
          <w:sz w:val="24"/>
          <w:szCs w:val="24"/>
        </w:rPr>
        <w:t>傅盈勳</w:t>
      </w:r>
    </w:p>
    <w:p w:rsidR="008C0DCD" w:rsidRPr="007D5F59" w:rsidRDefault="008C0DCD" w:rsidP="008C0DC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8C0DCD" w:rsidRPr="007D5F59" w:rsidRDefault="008C0DCD" w:rsidP="008C0DC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C0DCD" w:rsidRPr="007D5F59" w:rsidRDefault="008C0DCD" w:rsidP="008C0DCD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8C0DCD" w:rsidRPr="007D5F59" w:rsidTr="008935D7">
        <w:trPr>
          <w:trHeight w:val="452"/>
          <w:jc w:val="center"/>
        </w:trPr>
        <w:tc>
          <w:tcPr>
            <w:tcW w:w="1175" w:type="dxa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AB33B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 </w:t>
            </w:r>
            <w:r w:rsidR="00AB33B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8C0DCD" w:rsidRPr="00612D77" w:rsidRDefault="008C0DCD" w:rsidP="008935D7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8C0DCD" w:rsidRPr="00612D77" w:rsidRDefault="00846039" w:rsidP="008935D7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8C0DCD"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8C0DCD" w:rsidRPr="00612D7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8C0DCD"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="008C0DCD"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="008C0DCD" w:rsidRPr="00612D7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C0DCD"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="008C0DCD"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8C0DCD" w:rsidRPr="007D5F59" w:rsidTr="008935D7">
        <w:trPr>
          <w:trHeight w:val="416"/>
          <w:jc w:val="center"/>
        </w:trPr>
        <w:tc>
          <w:tcPr>
            <w:tcW w:w="1175" w:type="dxa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8C0DCD" w:rsidRPr="00612D77" w:rsidRDefault="00D21CE3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本土語文-閩南語</w:t>
            </w:r>
            <w:r w:rsidR="005A48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文</w:t>
            </w:r>
          </w:p>
        </w:tc>
        <w:tc>
          <w:tcPr>
            <w:tcW w:w="1766" w:type="dxa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8C0DCD" w:rsidRPr="00612D77" w:rsidRDefault="00D21CE3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第三課燒冷冰(真平版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)</w:t>
            </w:r>
          </w:p>
        </w:tc>
      </w:tr>
      <w:tr w:rsidR="008C0DCD" w:rsidRPr="007D5F59" w:rsidTr="008935D7">
        <w:trPr>
          <w:trHeight w:val="452"/>
          <w:jc w:val="center"/>
        </w:trPr>
        <w:tc>
          <w:tcPr>
            <w:tcW w:w="1175" w:type="dxa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8C0DCD" w:rsidRPr="00612D77" w:rsidRDefault="00D21CE3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陳明芳</w:t>
            </w:r>
          </w:p>
        </w:tc>
        <w:tc>
          <w:tcPr>
            <w:tcW w:w="1766" w:type="dxa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8C0DCD" w:rsidRPr="00612D77" w:rsidRDefault="00D21CE3" w:rsidP="008935D7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傅盈勳</w:t>
            </w:r>
          </w:p>
        </w:tc>
      </w:tr>
      <w:tr w:rsidR="008C0DCD" w:rsidRPr="007D5F59" w:rsidTr="008935D7">
        <w:trPr>
          <w:trHeight w:val="887"/>
          <w:tblHeader/>
          <w:jc w:val="center"/>
        </w:trPr>
        <w:tc>
          <w:tcPr>
            <w:tcW w:w="1175" w:type="dxa"/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C0DCD" w:rsidRPr="007D5F59" w:rsidTr="008935D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CD" w:rsidRPr="00612D77" w:rsidRDefault="00846039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9A2E6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942E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46039" w:rsidRPr="00612D77" w:rsidRDefault="00846039" w:rsidP="008460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5B7B3F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E35F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846039" w:rsidRPr="00612D77" w:rsidRDefault="00846039" w:rsidP="008460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46039" w:rsidRPr="007D5F59" w:rsidTr="00736BF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39" w:rsidRDefault="00846039" w:rsidP="00846039">
            <w:pPr>
              <w:jc w:val="center"/>
            </w:pPr>
            <w:r w:rsidRPr="00FE2A6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039" w:rsidRPr="00612D77" w:rsidRDefault="00846039" w:rsidP="008460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8C0DCD" w:rsidRPr="007D5F59" w:rsidRDefault="008C0DCD" w:rsidP="008C0DCD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8C0DCD" w:rsidRPr="007D5F59" w:rsidRDefault="008C0DCD" w:rsidP="008C0DC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D02B7">
        <w:rPr>
          <w:rFonts w:ascii="微軟正黑體" w:eastAsia="微軟正黑體" w:hAnsi="微軟正黑體" w:cs="Times New Roman" w:hint="eastAsia"/>
          <w:b/>
          <w:sz w:val="24"/>
          <w:szCs w:val="24"/>
        </w:rPr>
        <w:t>陳明芳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BD02B7">
        <w:rPr>
          <w:rFonts w:ascii="微軟正黑體" w:eastAsia="微軟正黑體" w:hAnsi="微軟正黑體" w:cs="Times New Roman" w:hint="eastAsia"/>
          <w:b/>
          <w:sz w:val="24"/>
          <w:szCs w:val="24"/>
        </w:rPr>
        <w:t>傅盈勳</w:t>
      </w:r>
    </w:p>
    <w:p w:rsidR="008C0DCD" w:rsidRPr="007D5F59" w:rsidRDefault="008C0DCD" w:rsidP="008C0DC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8C0DCD" w:rsidRPr="007D5F59" w:rsidRDefault="008C0DCD" w:rsidP="008C0DC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8C0DCD" w:rsidRPr="007D5F59" w:rsidRDefault="008C0DCD" w:rsidP="008C0DCD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5A4876">
        <w:rPr>
          <w:rFonts w:ascii="微軟正黑體" w:eastAsia="微軟正黑體" w:hAnsi="微軟正黑體" w:cs="Times New Roman" w:hint="eastAsia"/>
          <w:sz w:val="24"/>
          <w:szCs w:val="24"/>
        </w:rPr>
        <w:t>陳明芳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5A4876">
        <w:rPr>
          <w:rFonts w:ascii="微軟正黑體" w:eastAsia="微軟正黑體" w:hAnsi="微軟正黑體" w:cs="Times New Roman" w:hint="eastAsia"/>
          <w:sz w:val="24"/>
          <w:szCs w:val="24"/>
        </w:rPr>
        <w:t>五年三班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5A4876">
        <w:rPr>
          <w:rFonts w:ascii="微軟正黑體" w:eastAsia="微軟正黑體" w:hAnsi="微軟正黑體" w:cs="Times New Roman" w:hint="eastAsia"/>
          <w:sz w:val="24"/>
          <w:szCs w:val="24"/>
        </w:rPr>
        <w:t>本土語文-閩南語文</w:t>
      </w:r>
    </w:p>
    <w:p w:rsidR="008C0DCD" w:rsidRPr="007D5F59" w:rsidRDefault="008C0DCD" w:rsidP="008C0DCD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6413DE">
        <w:rPr>
          <w:rFonts w:ascii="微軟正黑體" w:eastAsia="微軟正黑體" w:hAnsi="微軟正黑體" w:cs="Times New Roman" w:hint="eastAsia"/>
          <w:sz w:val="24"/>
          <w:szCs w:val="24"/>
        </w:rPr>
        <w:t>第三課燒冷冰(真平版</w:t>
      </w:r>
      <w:r w:rsidR="006413DE">
        <w:rPr>
          <w:rFonts w:ascii="微軟正黑體" w:eastAsia="微軟正黑體" w:hAnsi="微軟正黑體" w:cs="Times New Roman"/>
          <w:sz w:val="24"/>
          <w:szCs w:val="24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8C0DCD" w:rsidRPr="007D5F59" w:rsidTr="008935D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8C0DCD" w:rsidRPr="007D5F59" w:rsidTr="008935D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C0DCD" w:rsidRPr="00612D77" w:rsidRDefault="00F92916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92916" w:rsidRPr="007D5F59" w:rsidTr="000167EF">
        <w:trPr>
          <w:jc w:val="center"/>
        </w:trPr>
        <w:tc>
          <w:tcPr>
            <w:tcW w:w="104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F92916" w:rsidRPr="00612D77" w:rsidRDefault="00F92916" w:rsidP="00F9291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F92916" w:rsidRDefault="00F92916" w:rsidP="00F92916">
            <w:pPr>
              <w:jc w:val="center"/>
            </w:pPr>
            <w:r w:rsidRPr="00905B09"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92916" w:rsidRPr="007D5F59" w:rsidTr="000167EF">
        <w:trPr>
          <w:jc w:val="center"/>
        </w:trPr>
        <w:tc>
          <w:tcPr>
            <w:tcW w:w="104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F92916" w:rsidRPr="00612D77" w:rsidRDefault="00F92916" w:rsidP="00F9291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F92916" w:rsidRDefault="00F92916" w:rsidP="00F92916">
            <w:pPr>
              <w:jc w:val="center"/>
            </w:pPr>
            <w:r w:rsidRPr="00905B09"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92916" w:rsidRPr="007D5F59" w:rsidTr="000167EF">
        <w:trPr>
          <w:jc w:val="center"/>
        </w:trPr>
        <w:tc>
          <w:tcPr>
            <w:tcW w:w="104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F92916" w:rsidRPr="00612D77" w:rsidRDefault="00F92916" w:rsidP="00F9291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F92916" w:rsidRDefault="00F92916" w:rsidP="00F92916">
            <w:pPr>
              <w:jc w:val="center"/>
            </w:pPr>
            <w:r w:rsidRPr="00905B09"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92916" w:rsidRPr="007D5F59" w:rsidTr="000167EF">
        <w:trPr>
          <w:jc w:val="center"/>
        </w:trPr>
        <w:tc>
          <w:tcPr>
            <w:tcW w:w="104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F92916" w:rsidRPr="00612D77" w:rsidRDefault="00F92916" w:rsidP="00F9291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F92916" w:rsidRDefault="00F92916" w:rsidP="00F92916">
            <w:pPr>
              <w:jc w:val="center"/>
            </w:pPr>
            <w:r w:rsidRPr="00905B09"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92916" w:rsidRPr="007D5F59" w:rsidTr="000167EF">
        <w:trPr>
          <w:jc w:val="center"/>
        </w:trPr>
        <w:tc>
          <w:tcPr>
            <w:tcW w:w="104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F92916" w:rsidRPr="00612D77" w:rsidRDefault="00F92916" w:rsidP="00F9291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:rsidR="00F92916" w:rsidRDefault="00F92916" w:rsidP="00F92916">
            <w:pPr>
              <w:jc w:val="center"/>
            </w:pPr>
            <w:r w:rsidRPr="00905B09">
              <w:rPr>
                <w:rFonts w:cs="Times New Roman" w:hint="eastAsia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92916" w:rsidRPr="00612D77" w:rsidRDefault="00F92916" w:rsidP="00F9291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C0DCD" w:rsidRPr="007D5F59" w:rsidTr="008935D7">
        <w:trPr>
          <w:jc w:val="center"/>
        </w:trPr>
        <w:tc>
          <w:tcPr>
            <w:tcW w:w="1041" w:type="dxa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C0DCD" w:rsidRPr="00612D77" w:rsidRDefault="008C0DCD" w:rsidP="008935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2D77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C0DCD" w:rsidRPr="007D5F59" w:rsidTr="008935D7">
        <w:trPr>
          <w:trHeight w:val="7709"/>
          <w:jc w:val="center"/>
        </w:trPr>
        <w:tc>
          <w:tcPr>
            <w:tcW w:w="9634" w:type="dxa"/>
            <w:gridSpan w:val="6"/>
          </w:tcPr>
          <w:p w:rsidR="008C0DCD" w:rsidRPr="00612D77" w:rsidRDefault="008C0DCD" w:rsidP="008935D7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8C0DCD" w:rsidRPr="00612D77" w:rsidRDefault="007D5D49" w:rsidP="008935D7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孩子閩南語語言能力因缺乏日常使用率,因此無法熟練已是常態。身為</w:t>
            </w:r>
            <w:r w:rsidR="005D068E">
              <w:rPr>
                <w:rFonts w:cs="Times New Roman" w:hint="eastAsia"/>
                <w:sz w:val="24"/>
                <w:szCs w:val="24"/>
              </w:rPr>
              <w:t>現今本土語言</w:t>
            </w:r>
            <w:r>
              <w:rPr>
                <w:rFonts w:cs="Times New Roman" w:hint="eastAsia"/>
                <w:sz w:val="24"/>
                <w:szCs w:val="24"/>
              </w:rPr>
              <w:t>教學者</w:t>
            </w:r>
            <w:r w:rsidR="004712D2">
              <w:rPr>
                <w:rFonts w:cs="Times New Roman" w:hint="eastAsia"/>
                <w:sz w:val="24"/>
                <w:szCs w:val="24"/>
              </w:rPr>
              <w:t>，</w:t>
            </w:r>
            <w:r>
              <w:rPr>
                <w:rFonts w:cs="Times New Roman" w:hint="eastAsia"/>
                <w:sz w:val="24"/>
                <w:szCs w:val="24"/>
              </w:rPr>
              <w:t>最重要在於啟發及維持學生對於閩南語的學習動機及熱情</w:t>
            </w:r>
            <w:r w:rsidR="00BC0354">
              <w:rPr>
                <w:rFonts w:cs="Times New Roman" w:hint="eastAsia"/>
                <w:sz w:val="24"/>
                <w:szCs w:val="24"/>
              </w:rPr>
              <w:t>，孩子或許現階段無法在使用閩南語的能力能追得上教學目標的設定，但只要維持學習熱情，便有終身自學的動機。</w:t>
            </w:r>
          </w:p>
        </w:tc>
      </w:tr>
    </w:tbl>
    <w:p w:rsidR="008C0DCD" w:rsidRPr="007D5F59" w:rsidRDefault="008C0DCD" w:rsidP="008C0DC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8C0DCD" w:rsidRPr="007D5F59" w:rsidRDefault="008C0DCD" w:rsidP="008C0DCD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61738">
        <w:rPr>
          <w:rFonts w:ascii="微軟正黑體" w:eastAsia="微軟正黑體" w:hAnsi="微軟正黑體" w:cs="Times New Roman" w:hint="eastAsia"/>
          <w:b/>
          <w:sz w:val="24"/>
          <w:szCs w:val="24"/>
        </w:rPr>
        <w:t>陳明芳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 w:rsidR="00861738">
        <w:rPr>
          <w:rFonts w:ascii="微軟正黑體" w:eastAsia="微軟正黑體" w:hAnsi="微軟正黑體" w:cs="Times New Roman" w:hint="eastAsia"/>
          <w:b/>
          <w:sz w:val="24"/>
          <w:szCs w:val="24"/>
        </w:rPr>
        <w:t>傅盈勳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</w:p>
    <w:p w:rsidR="008C0DCD" w:rsidRPr="007D5F59" w:rsidRDefault="008C0DCD" w:rsidP="008C0DC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8C0DCD" w:rsidRPr="007D5F59" w:rsidRDefault="008C0DCD" w:rsidP="008C0DC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8C0DCD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8C0DCD" w:rsidRPr="007D5F59" w:rsidRDefault="008C0DCD" w:rsidP="008C0DC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8C0DCD" w:rsidRPr="00690B0A" w:rsidRDefault="00690B0A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690B0A">
              <w:rPr>
                <w:rFonts w:ascii="微軟正黑體" w:eastAsia="微軟正黑體" w:hAnsi="微軟正黑體" w:cs="Times New Roman"/>
                <w:sz w:val="24"/>
                <w:szCs w:val="24"/>
              </w:rPr>
              <w:t>023</w:t>
            </w: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</w:t>
            </w:r>
            <w:r w:rsidRPr="00690B0A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月7日第五節</w:t>
            </w:r>
          </w:p>
        </w:tc>
        <w:tc>
          <w:tcPr>
            <w:tcW w:w="1242" w:type="dxa"/>
          </w:tcPr>
          <w:p w:rsidR="008C0DCD" w:rsidRPr="00690B0A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8C0DCD" w:rsidRPr="00690B0A" w:rsidRDefault="00690B0A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五年三班</w:t>
            </w:r>
          </w:p>
        </w:tc>
      </w:tr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8C0DCD" w:rsidRPr="00690B0A" w:rsidRDefault="00690B0A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本土語文-閩南語文</w:t>
            </w:r>
          </w:p>
        </w:tc>
        <w:tc>
          <w:tcPr>
            <w:tcW w:w="1242" w:type="dxa"/>
          </w:tcPr>
          <w:p w:rsidR="008C0DCD" w:rsidRPr="00690B0A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8C0DCD" w:rsidRPr="00690B0A" w:rsidRDefault="00690B0A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0B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第三課燒冷冰(真平版</w:t>
            </w:r>
            <w:r w:rsidRPr="00690B0A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</w:tc>
      </w:tr>
      <w:tr w:rsidR="008C0DCD" w:rsidRPr="007D5F59" w:rsidTr="008935D7">
        <w:tc>
          <w:tcPr>
            <w:tcW w:w="1240" w:type="dxa"/>
          </w:tcPr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12D77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8C0DCD" w:rsidRPr="00322AB7" w:rsidRDefault="00322AB7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2A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陳明芳</w:t>
            </w:r>
          </w:p>
        </w:tc>
        <w:tc>
          <w:tcPr>
            <w:tcW w:w="1134" w:type="dxa"/>
          </w:tcPr>
          <w:p w:rsidR="008C0DCD" w:rsidRPr="00322AB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2AB7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8C0DCD" w:rsidRPr="00322AB7" w:rsidRDefault="00322AB7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2A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傅盈勳</w:t>
            </w:r>
          </w:p>
        </w:tc>
        <w:tc>
          <w:tcPr>
            <w:tcW w:w="2162" w:type="dxa"/>
          </w:tcPr>
          <w:p w:rsidR="008C0DCD" w:rsidRPr="00322AB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2AB7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8C0DCD" w:rsidRPr="00322AB7" w:rsidRDefault="00322AB7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2A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322AB7">
              <w:rPr>
                <w:rFonts w:ascii="微軟正黑體" w:eastAsia="微軟正黑體" w:hAnsi="微軟正黑體" w:cs="Times New Roman"/>
                <w:sz w:val="24"/>
                <w:szCs w:val="24"/>
              </w:rPr>
              <w:t>1/8</w:t>
            </w:r>
            <w:r w:rsidRPr="00322AB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第一節</w:t>
            </w:r>
          </w:p>
        </w:tc>
      </w:tr>
      <w:tr w:rsidR="008C0DCD" w:rsidRPr="007D5F59" w:rsidTr="008935D7">
        <w:trPr>
          <w:trHeight w:val="10099"/>
        </w:trPr>
        <w:tc>
          <w:tcPr>
            <w:tcW w:w="9912" w:type="dxa"/>
            <w:gridSpan w:val="7"/>
          </w:tcPr>
          <w:p w:rsidR="008C0DCD" w:rsidRPr="00612D77" w:rsidRDefault="008C0DCD" w:rsidP="008935D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8C0DCD" w:rsidRPr="00612D77" w:rsidRDefault="00B22537" w:rsidP="008935D7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與學生互動佳，能設計引起學生學習興趣之活動，非聚焦在學生是否精熟語言學習，而是讓學生保有學習熱情。</w:t>
            </w:r>
            <w:r w:rsidR="00A925F2">
              <w:rPr>
                <w:rFonts w:hint="eastAsia"/>
                <w:sz w:val="24"/>
                <w:szCs w:val="24"/>
              </w:rPr>
              <w:t>其次是能讓學生全體都參與到活動，而非只有少數閩南語能力佳的學生能參與得到。</w:t>
            </w:r>
          </w:p>
          <w:p w:rsidR="008C0DCD" w:rsidRPr="00612D77" w:rsidRDefault="008C0DCD" w:rsidP="008935D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8C0DCD" w:rsidRPr="00612D77" w:rsidRDefault="008C0DCD" w:rsidP="008935D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8C0DCD" w:rsidRPr="00612D77" w:rsidRDefault="008C0DCD" w:rsidP="008935D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8C0DCD" w:rsidRPr="00612D77" w:rsidRDefault="008C0DCD" w:rsidP="008935D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8C0DCD" w:rsidRPr="00612D77" w:rsidRDefault="00296EF0" w:rsidP="008935D7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時間的掌握需再拿捏精準。</w:t>
            </w:r>
          </w:p>
          <w:p w:rsidR="008C0DCD" w:rsidRPr="00612D77" w:rsidRDefault="008C0DCD" w:rsidP="008935D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8C0DCD" w:rsidRPr="00612D77" w:rsidRDefault="008C0DCD" w:rsidP="008935D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12D77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8C0DCD" w:rsidRPr="00296EF0" w:rsidRDefault="00296EF0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6EF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可再增加讓學生實際習寫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任務，強化學生習得閩南語漢字及拼音</w:t>
            </w:r>
            <w:r w:rsidRPr="00296EF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8C0DCD" w:rsidRPr="00612D77" w:rsidRDefault="008C0DCD" w:rsidP="008935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8C0DCD" w:rsidRPr="007D5F59" w:rsidRDefault="008C0DCD" w:rsidP="008C0DCD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8C0DCD" w:rsidRPr="007D5F59" w:rsidRDefault="008C0DCD" w:rsidP="008C0DC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8C0DCD" w:rsidRPr="007D5F59" w:rsidRDefault="008C0DCD" w:rsidP="008C0DC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76AD7">
        <w:rPr>
          <w:rFonts w:ascii="微軟正黑體" w:eastAsia="微軟正黑體" w:hAnsi="微軟正黑體" w:cs="Times New Roman" w:hint="eastAsia"/>
          <w:b/>
          <w:sz w:val="24"/>
          <w:szCs w:val="24"/>
        </w:rPr>
        <w:t>陳明芳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="00976AD7">
        <w:rPr>
          <w:rFonts w:ascii="微軟正黑體" w:eastAsia="微軟正黑體" w:hAnsi="微軟正黑體" w:cs="Times New Roman" w:hint="eastAsia"/>
          <w:b/>
          <w:sz w:val="24"/>
          <w:szCs w:val="24"/>
        </w:rPr>
        <w:t>傅盈勳</w:t>
      </w:r>
    </w:p>
    <w:p w:rsidR="008C0DCD" w:rsidRPr="008C0DCD" w:rsidRDefault="008C0DCD"/>
    <w:sectPr w:rsidR="008C0DCD" w:rsidRPr="008C0DCD" w:rsidSect="008C0DCD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CD"/>
    <w:rsid w:val="00296EF0"/>
    <w:rsid w:val="002C615F"/>
    <w:rsid w:val="00322AB7"/>
    <w:rsid w:val="00336DA4"/>
    <w:rsid w:val="004712D2"/>
    <w:rsid w:val="005A4876"/>
    <w:rsid w:val="005D068E"/>
    <w:rsid w:val="006413DE"/>
    <w:rsid w:val="00690B0A"/>
    <w:rsid w:val="007D5D49"/>
    <w:rsid w:val="00846039"/>
    <w:rsid w:val="00861738"/>
    <w:rsid w:val="008A0705"/>
    <w:rsid w:val="008C0DCD"/>
    <w:rsid w:val="00976AD7"/>
    <w:rsid w:val="00A23363"/>
    <w:rsid w:val="00A925F2"/>
    <w:rsid w:val="00AB33BD"/>
    <w:rsid w:val="00B22537"/>
    <w:rsid w:val="00BB7B09"/>
    <w:rsid w:val="00BC0354"/>
    <w:rsid w:val="00BD02B7"/>
    <w:rsid w:val="00D21CE3"/>
    <w:rsid w:val="00EA3E6A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8097"/>
  <w15:chartTrackingRefBased/>
  <w15:docId w15:val="{F83EAF7B-3E7C-4BFA-B723-22B77D9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DC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2023-10-20T07:02:00Z</dcterms:created>
  <dcterms:modified xsi:type="dcterms:W3CDTF">2023-11-20T07:04:00Z</dcterms:modified>
</cp:coreProperties>
</file>