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6BE17" w14:textId="72FB3A87" w:rsidR="00E51AA9" w:rsidRDefault="00E51AA9" w:rsidP="00E51AA9">
      <w:pPr>
        <w:spacing w:line="480" w:lineRule="exact"/>
        <w:jc w:val="center"/>
        <w:rPr>
          <w:rFonts w:eastAsia="標楷體"/>
          <w:b/>
          <w:color w:val="000000"/>
          <w:spacing w:val="-8"/>
          <w:sz w:val="28"/>
          <w:szCs w:val="27"/>
        </w:rPr>
      </w:pPr>
      <w:r w:rsidRPr="002F1FCA">
        <w:rPr>
          <w:rFonts w:eastAsia="標楷體"/>
          <w:b/>
          <w:color w:val="000000"/>
          <w:spacing w:val="-8"/>
          <w:sz w:val="28"/>
          <w:szCs w:val="27"/>
        </w:rPr>
        <w:t>本土雙語教育模式之建構與推廣：以臺灣國中小為現場之實踐</w:t>
      </w:r>
    </w:p>
    <w:p w14:paraId="2B013532" w14:textId="75B4BB4B" w:rsidR="0005293C" w:rsidRPr="0005293C" w:rsidRDefault="0005293C" w:rsidP="00E51AA9">
      <w:pPr>
        <w:spacing w:line="480" w:lineRule="exact"/>
        <w:jc w:val="center"/>
        <w:rPr>
          <w:rFonts w:eastAsia="標楷體" w:hint="eastAsia"/>
          <w:b/>
          <w:color w:val="000000"/>
          <w:spacing w:val="-8"/>
          <w:sz w:val="28"/>
          <w:szCs w:val="27"/>
        </w:rPr>
      </w:pPr>
      <w:r w:rsidRPr="0005293C">
        <w:rPr>
          <w:rFonts w:eastAsia="標楷體"/>
          <w:b/>
          <w:color w:val="000000"/>
          <w:spacing w:val="-8"/>
          <w:sz w:val="28"/>
          <w:szCs w:val="27"/>
        </w:rPr>
        <w:t xml:space="preserve">Integrated Bilingual Teaching in Selected Subject </w:t>
      </w:r>
      <w:proofErr w:type="gramStart"/>
      <w:r w:rsidRPr="0005293C">
        <w:rPr>
          <w:rFonts w:eastAsia="標楷體"/>
          <w:b/>
          <w:color w:val="000000"/>
          <w:spacing w:val="-8"/>
          <w:sz w:val="28"/>
          <w:szCs w:val="27"/>
        </w:rPr>
        <w:t xml:space="preserve">Areas </w:t>
      </w:r>
      <w:r>
        <w:rPr>
          <w:rFonts w:eastAsia="標楷體" w:hint="eastAsia"/>
          <w:b/>
          <w:color w:val="000000"/>
          <w:spacing w:val="-8"/>
          <w:sz w:val="28"/>
          <w:szCs w:val="27"/>
        </w:rPr>
        <w:t>:</w:t>
      </w:r>
      <w:proofErr w:type="gramEnd"/>
      <w:r>
        <w:rPr>
          <w:rFonts w:eastAsia="標楷體" w:hint="eastAsia"/>
          <w:b/>
          <w:color w:val="000000"/>
          <w:spacing w:val="-8"/>
          <w:sz w:val="28"/>
          <w:szCs w:val="27"/>
        </w:rPr>
        <w:t xml:space="preserve"> </w:t>
      </w:r>
      <w:r w:rsidRPr="0005293C">
        <w:rPr>
          <w:rFonts w:eastAsia="標楷體"/>
          <w:b/>
          <w:color w:val="000000"/>
          <w:spacing w:val="-8"/>
          <w:sz w:val="28"/>
          <w:szCs w:val="27"/>
        </w:rPr>
        <w:t>Localizing Bilingual Education Models in Primary and Secondary Schools</w:t>
      </w:r>
    </w:p>
    <w:p w14:paraId="24F742E9" w14:textId="6A4085E7" w:rsidR="00E51AA9" w:rsidRDefault="00E51AA9" w:rsidP="008B0841">
      <w:pPr>
        <w:spacing w:line="0" w:lineRule="atLeast"/>
        <w:jc w:val="center"/>
        <w:rPr>
          <w:rFonts w:eastAsia="標楷體"/>
          <w:b/>
          <w:sz w:val="52"/>
          <w:szCs w:val="24"/>
        </w:rPr>
      </w:pPr>
      <w:r w:rsidRPr="002F1FCA">
        <w:rPr>
          <w:rFonts w:eastAsia="標楷體"/>
          <w:b/>
          <w:sz w:val="52"/>
          <w:szCs w:val="24"/>
        </w:rPr>
        <w:t>雙語課程</w:t>
      </w:r>
      <w:proofErr w:type="gramStart"/>
      <w:r w:rsidRPr="002F1FCA">
        <w:rPr>
          <w:rFonts w:eastAsia="標楷體"/>
          <w:b/>
          <w:sz w:val="52"/>
          <w:szCs w:val="24"/>
        </w:rPr>
        <w:t>說觀議課</w:t>
      </w:r>
      <w:proofErr w:type="gramEnd"/>
      <w:r w:rsidRPr="002F1FCA">
        <w:rPr>
          <w:rFonts w:eastAsia="標楷體"/>
          <w:b/>
          <w:sz w:val="52"/>
          <w:szCs w:val="24"/>
        </w:rPr>
        <w:t>紀錄表</w:t>
      </w:r>
      <w:r w:rsidRPr="002F1FCA">
        <w:rPr>
          <w:rFonts w:eastAsia="標楷體"/>
          <w:b/>
          <w:sz w:val="52"/>
          <w:szCs w:val="24"/>
        </w:rPr>
        <w:t>_A</w:t>
      </w:r>
      <w:r w:rsidRPr="002F1FCA">
        <w:rPr>
          <w:rFonts w:eastAsia="標楷體"/>
          <w:b/>
          <w:sz w:val="52"/>
          <w:szCs w:val="24"/>
        </w:rPr>
        <w:t>版</w:t>
      </w:r>
    </w:p>
    <w:p w14:paraId="485DCEFA" w14:textId="238D5893" w:rsidR="0005293C" w:rsidRPr="0005293C" w:rsidRDefault="0005293C" w:rsidP="008B0841">
      <w:pPr>
        <w:pStyle w:val="aa"/>
        <w:spacing w:line="0" w:lineRule="atLeast"/>
        <w:jc w:val="center"/>
        <w:rPr>
          <w:rFonts w:eastAsia="標楷體" w:hint="eastAsia"/>
          <w:b/>
          <w:sz w:val="52"/>
          <w:szCs w:val="24"/>
        </w:rPr>
      </w:pPr>
      <w:r w:rsidRPr="00B457F1">
        <w:rPr>
          <w:b/>
          <w:sz w:val="28"/>
        </w:rPr>
        <w:t>Bilingual Course Speaking and Discussion Lesson Record Form A Version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658"/>
        <w:gridCol w:w="1653"/>
        <w:gridCol w:w="776"/>
        <w:gridCol w:w="1558"/>
        <w:gridCol w:w="1987"/>
        <w:gridCol w:w="3257"/>
      </w:tblGrid>
      <w:tr w:rsidR="00E51AA9" w:rsidRPr="009D26E9" w14:paraId="32338F9F" w14:textId="77777777" w:rsidTr="00873630">
        <w:trPr>
          <w:trHeight w:val="567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B438" w14:textId="77777777" w:rsidR="00795AF3" w:rsidRDefault="00E51AA9" w:rsidP="00000169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授課</w:t>
            </w:r>
          </w:p>
          <w:p w14:paraId="64A1A701" w14:textId="77777777" w:rsidR="00E51AA9" w:rsidRDefault="00E51AA9" w:rsidP="00000169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進度</w:t>
            </w:r>
          </w:p>
          <w:p w14:paraId="60E49E6F" w14:textId="544EF5AB" w:rsidR="008B0841" w:rsidRPr="009D26E9" w:rsidRDefault="008B0841" w:rsidP="00000169">
            <w:pPr>
              <w:spacing w:line="240" w:lineRule="auto"/>
              <w:jc w:val="center"/>
              <w:rPr>
                <w:rFonts w:eastAsia="標楷體" w:hint="eastAsia"/>
                <w:b/>
                <w:szCs w:val="24"/>
              </w:rPr>
            </w:pPr>
            <w:r>
              <w:rPr>
                <w:rFonts w:eastAsia="標楷體"/>
                <w:szCs w:val="24"/>
              </w:rPr>
              <w:t>L</w:t>
            </w:r>
            <w:r w:rsidRPr="00D57AAC">
              <w:rPr>
                <w:rFonts w:eastAsia="標楷體"/>
                <w:szCs w:val="24"/>
              </w:rPr>
              <w:t>ecture schedule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FD36" w14:textId="77777777" w:rsidR="00E51AA9" w:rsidRPr="009D26E9" w:rsidRDefault="00E51AA9" w:rsidP="00000169">
            <w:pPr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17AE" w14:textId="77777777" w:rsidR="00E51AA9" w:rsidRDefault="00E51AA9" w:rsidP="00000169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授課教師</w:t>
            </w:r>
          </w:p>
          <w:p w14:paraId="1764E83F" w14:textId="5C1B3757" w:rsidR="008B0841" w:rsidRPr="009D26E9" w:rsidRDefault="008B0841" w:rsidP="00000169">
            <w:pPr>
              <w:spacing w:line="240" w:lineRule="auto"/>
              <w:jc w:val="center"/>
              <w:rPr>
                <w:rFonts w:eastAsia="標楷體" w:hint="eastAsia"/>
                <w:b/>
                <w:szCs w:val="24"/>
              </w:rPr>
            </w:pPr>
            <w:r w:rsidRPr="00821BAF">
              <w:rPr>
                <w:rFonts w:eastAsia="標楷體"/>
                <w:szCs w:val="24"/>
              </w:rPr>
              <w:t>Lecturer: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7462" w14:textId="77777777" w:rsidR="00E51AA9" w:rsidRPr="009D26E9" w:rsidRDefault="00E51AA9" w:rsidP="00000169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795AF3" w:rsidRPr="009D26E9" w14:paraId="7E242FDC" w14:textId="77777777" w:rsidTr="00873630">
        <w:trPr>
          <w:trHeight w:val="567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8D31" w14:textId="77777777" w:rsidR="00795AF3" w:rsidRDefault="00795AF3" w:rsidP="00000169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教案</w:t>
            </w:r>
          </w:p>
          <w:p w14:paraId="469BC106" w14:textId="77777777" w:rsidR="00795AF3" w:rsidRDefault="00795AF3" w:rsidP="00000169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設計</w:t>
            </w:r>
            <w:r w:rsidRPr="009D26E9">
              <w:rPr>
                <w:rFonts w:eastAsia="標楷體"/>
                <w:b/>
                <w:szCs w:val="24"/>
              </w:rPr>
              <w:t>者</w:t>
            </w:r>
          </w:p>
          <w:p w14:paraId="124A871E" w14:textId="6048ECE7" w:rsidR="008B0841" w:rsidRPr="009D26E9" w:rsidRDefault="008B0841" w:rsidP="00000169">
            <w:pPr>
              <w:spacing w:line="240" w:lineRule="auto"/>
              <w:jc w:val="center"/>
              <w:rPr>
                <w:rFonts w:eastAsia="標楷體" w:hint="eastAsia"/>
                <w:b/>
                <w:szCs w:val="24"/>
              </w:rPr>
            </w:pPr>
            <w:r>
              <w:rPr>
                <w:rFonts w:eastAsia="標楷體"/>
                <w:szCs w:val="24"/>
              </w:rPr>
              <w:t>A</w:t>
            </w:r>
            <w:r w:rsidRPr="00821BAF">
              <w:rPr>
                <w:rFonts w:eastAsia="標楷體"/>
                <w:szCs w:val="24"/>
              </w:rPr>
              <w:t>uthor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362E" w14:textId="77777777" w:rsidR="00795AF3" w:rsidRPr="009D26E9" w:rsidRDefault="00795AF3" w:rsidP="00000169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1D02" w14:textId="77777777" w:rsidR="00795AF3" w:rsidRDefault="00795AF3" w:rsidP="00000169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proofErr w:type="gramStart"/>
            <w:r w:rsidRPr="009D26E9">
              <w:rPr>
                <w:rFonts w:eastAsia="標楷體"/>
                <w:b/>
                <w:szCs w:val="24"/>
              </w:rPr>
              <w:t>觀課時間</w:t>
            </w:r>
            <w:proofErr w:type="gramEnd"/>
          </w:p>
          <w:p w14:paraId="17E169F7" w14:textId="7635A6CC" w:rsidR="008B0841" w:rsidRPr="009D26E9" w:rsidRDefault="008B0841" w:rsidP="00000169">
            <w:pPr>
              <w:spacing w:line="240" w:lineRule="auto"/>
              <w:jc w:val="center"/>
              <w:rPr>
                <w:rFonts w:eastAsia="標楷體" w:hint="eastAsia"/>
                <w:b/>
                <w:szCs w:val="24"/>
              </w:rPr>
            </w:pPr>
            <w:r w:rsidRPr="00AC751C">
              <w:rPr>
                <w:rFonts w:eastAsia="標楷體"/>
                <w:szCs w:val="24"/>
              </w:rPr>
              <w:t>Time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7BF" w14:textId="77777777" w:rsidR="00795AF3" w:rsidRPr="009D26E9" w:rsidRDefault="00795AF3" w:rsidP="00000169">
            <w:pPr>
              <w:spacing w:line="24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5B02" w14:textId="77777777" w:rsidR="00795AF3" w:rsidRPr="009D26E9" w:rsidRDefault="00795AF3" w:rsidP="00000169">
            <w:pPr>
              <w:spacing w:line="240" w:lineRule="auto"/>
              <w:jc w:val="center"/>
              <w:rPr>
                <w:rFonts w:eastAsia="標楷體" w:hint="eastAsia"/>
                <w:b/>
                <w:szCs w:val="24"/>
              </w:rPr>
            </w:pPr>
            <w:proofErr w:type="gramStart"/>
            <w:r w:rsidRPr="009D26E9">
              <w:rPr>
                <w:rFonts w:eastAsia="標楷體"/>
                <w:b/>
                <w:szCs w:val="24"/>
              </w:rPr>
              <w:t>觀課教師</w:t>
            </w:r>
            <w:proofErr w:type="gram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46A7" w14:textId="77777777" w:rsidR="00795AF3" w:rsidRPr="009D26E9" w:rsidRDefault="00795AF3" w:rsidP="00000169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E51AA9" w:rsidRPr="009D26E9" w14:paraId="501D08CD" w14:textId="77777777" w:rsidTr="00873630">
        <w:trPr>
          <w:trHeight w:val="340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4C96" w14:textId="77777777" w:rsidR="00E51AA9" w:rsidRDefault="00E51AA9" w:rsidP="00000169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proofErr w:type="gramStart"/>
            <w:r w:rsidRPr="009D26E9">
              <w:rPr>
                <w:rFonts w:eastAsia="標楷體"/>
                <w:b/>
                <w:szCs w:val="24"/>
              </w:rPr>
              <w:t>觀課面向</w:t>
            </w:r>
            <w:proofErr w:type="gramEnd"/>
          </w:p>
          <w:p w14:paraId="4D4CF7CB" w14:textId="66EEF2A2" w:rsidR="00873630" w:rsidRPr="009D26E9" w:rsidRDefault="00873630" w:rsidP="00000169">
            <w:pPr>
              <w:snapToGrid w:val="0"/>
              <w:spacing w:line="240" w:lineRule="auto"/>
              <w:jc w:val="center"/>
              <w:rPr>
                <w:rFonts w:eastAsia="標楷體" w:hint="eastAsia"/>
                <w:b/>
                <w:szCs w:val="24"/>
              </w:rPr>
            </w:pPr>
            <w:r w:rsidRPr="00AC751C">
              <w:t>Observation Perspectives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5906" w14:textId="77777777" w:rsidR="00E51AA9" w:rsidRDefault="00E51AA9" w:rsidP="00000169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觀察重點</w:t>
            </w:r>
          </w:p>
          <w:p w14:paraId="1CCAFDBE" w14:textId="29CBF8D9" w:rsidR="00873630" w:rsidRPr="009D26E9" w:rsidRDefault="00873630" w:rsidP="00000169">
            <w:pPr>
              <w:snapToGrid w:val="0"/>
              <w:spacing w:line="240" w:lineRule="auto"/>
              <w:jc w:val="center"/>
              <w:rPr>
                <w:rFonts w:eastAsia="標楷體" w:hint="eastAsia"/>
                <w:b/>
                <w:szCs w:val="24"/>
              </w:rPr>
            </w:pPr>
            <w:r w:rsidRPr="00AC751C">
              <w:rPr>
                <w:rFonts w:eastAsia="標楷體"/>
                <w:szCs w:val="24"/>
              </w:rPr>
              <w:t>Observation Key Points.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280A" w14:textId="77777777" w:rsidR="00E51AA9" w:rsidRDefault="00E51AA9" w:rsidP="00000169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優點特色或建議</w:t>
            </w:r>
          </w:p>
          <w:p w14:paraId="32751114" w14:textId="26EED1D0" w:rsidR="00873630" w:rsidRPr="009D26E9" w:rsidRDefault="00873630" w:rsidP="00000169">
            <w:pPr>
              <w:snapToGrid w:val="0"/>
              <w:spacing w:line="240" w:lineRule="auto"/>
              <w:jc w:val="center"/>
              <w:rPr>
                <w:rFonts w:eastAsia="標楷體" w:hint="eastAsia"/>
                <w:b/>
                <w:szCs w:val="24"/>
              </w:rPr>
            </w:pPr>
            <w:r w:rsidRPr="00AC751C">
              <w:rPr>
                <w:rFonts w:eastAsia="標楷體" w:hint="eastAsia"/>
                <w:szCs w:val="24"/>
              </w:rPr>
              <w:t>Suggestions, recommendations</w:t>
            </w:r>
          </w:p>
        </w:tc>
      </w:tr>
      <w:tr w:rsidR="00E51AA9" w:rsidRPr="009D26E9" w14:paraId="7B7287E8" w14:textId="77777777" w:rsidTr="00873630">
        <w:trPr>
          <w:trHeight w:val="487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23D5C" w14:textId="77777777" w:rsidR="00E51AA9" w:rsidRDefault="00E51AA9" w:rsidP="00000169">
            <w:pPr>
              <w:spacing w:line="240" w:lineRule="auto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說課</w:t>
            </w:r>
          </w:p>
          <w:p w14:paraId="04E786D4" w14:textId="33D8EE94" w:rsidR="00873630" w:rsidRPr="009D26E9" w:rsidRDefault="00873630" w:rsidP="00000169">
            <w:pPr>
              <w:spacing w:line="240" w:lineRule="auto"/>
              <w:rPr>
                <w:rFonts w:eastAsia="標楷體" w:hint="eastAsia"/>
                <w:b/>
                <w:szCs w:val="24"/>
              </w:rPr>
            </w:pPr>
            <w:r w:rsidRPr="00153834">
              <w:t>Lesson Presentation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35565" w14:textId="77777777" w:rsidR="00E51AA9" w:rsidRDefault="00E51AA9" w:rsidP="00000169">
            <w:pPr>
              <w:spacing w:line="240" w:lineRule="auto"/>
              <w:jc w:val="both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課程內容</w:t>
            </w:r>
          </w:p>
          <w:p w14:paraId="412C2B23" w14:textId="728FF62E" w:rsidR="00873630" w:rsidRPr="009D26E9" w:rsidRDefault="00873630" w:rsidP="00000169">
            <w:pPr>
              <w:spacing w:line="240" w:lineRule="auto"/>
              <w:jc w:val="both"/>
              <w:rPr>
                <w:rFonts w:eastAsia="標楷體" w:hint="eastAsia"/>
                <w:b/>
                <w:szCs w:val="24"/>
              </w:rPr>
            </w:pPr>
            <w:r w:rsidRPr="00153834">
              <w:t>Course Content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FB96D" w14:textId="5B29D166" w:rsidR="00E51AA9" w:rsidRDefault="00E51AA9" w:rsidP="00000169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學科教學內容的選擇</w:t>
            </w:r>
          </w:p>
          <w:p w14:paraId="067574C2" w14:textId="2610DF7B" w:rsidR="00873630" w:rsidRPr="00B457F1" w:rsidRDefault="00873630" w:rsidP="00000169">
            <w:pPr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B457F1">
              <w:rPr>
                <w:rFonts w:eastAsia="標楷體"/>
              </w:rPr>
              <w:t>Teaching Content</w:t>
            </w:r>
          </w:p>
          <w:p w14:paraId="620E0AEE" w14:textId="7C0D78DF" w:rsidR="00873630" w:rsidRPr="00873630" w:rsidRDefault="00E51AA9" w:rsidP="00000169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學科教學內容的呈現方式</w:t>
            </w:r>
            <w:r w:rsidR="00873630" w:rsidRPr="00873630">
              <w:rPr>
                <w:rFonts w:eastAsia="標楷體"/>
              </w:rPr>
              <w:t>Presentation of content</w:t>
            </w:r>
          </w:p>
          <w:p w14:paraId="112ED374" w14:textId="0F4A37C0" w:rsidR="00873630" w:rsidRPr="00873630" w:rsidRDefault="00E51AA9" w:rsidP="00000169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教學</w:t>
            </w:r>
            <w:proofErr w:type="gramStart"/>
            <w:r w:rsidRPr="009D26E9">
              <w:rPr>
                <w:rFonts w:eastAsia="標楷體"/>
              </w:rPr>
              <w:t>（</w:t>
            </w:r>
            <w:proofErr w:type="gramEnd"/>
            <w:r w:rsidRPr="009D26E9">
              <w:rPr>
                <w:rFonts w:eastAsia="標楷體"/>
              </w:rPr>
              <w:t>雙語：中、英語</w:t>
            </w:r>
            <w:proofErr w:type="gramStart"/>
            <w:r w:rsidRPr="009D26E9">
              <w:rPr>
                <w:rFonts w:eastAsia="標楷體"/>
              </w:rPr>
              <w:t>）</w:t>
            </w:r>
            <w:proofErr w:type="gramEnd"/>
            <w:r w:rsidRPr="009D26E9">
              <w:rPr>
                <w:rFonts w:eastAsia="標楷體"/>
              </w:rPr>
              <w:t>語言使用之規劃</w:t>
            </w:r>
            <w:r w:rsidR="00873630" w:rsidRPr="00153834">
              <w:t>Planning for Language Use in Bilingual (Chinese and English) Instruction</w:t>
            </w:r>
          </w:p>
          <w:p w14:paraId="7AAFF8C0" w14:textId="77777777" w:rsidR="00E51AA9" w:rsidRDefault="00E51AA9" w:rsidP="00000169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雙語教學內容組織</w:t>
            </w:r>
          </w:p>
          <w:p w14:paraId="0140CC60" w14:textId="77777777" w:rsidR="006528DC" w:rsidRDefault="006528DC" w:rsidP="00000169">
            <w:pPr>
              <w:pStyle w:val="a3"/>
              <w:ind w:leftChars="0"/>
            </w:pPr>
            <w:r w:rsidRPr="00153834">
              <w:t>Organization of Bilingual Instructional Content</w:t>
            </w:r>
          </w:p>
          <w:p w14:paraId="52496CCE" w14:textId="77777777" w:rsidR="00C469AF" w:rsidRDefault="00C469AF" w:rsidP="00000169">
            <w:pPr>
              <w:pStyle w:val="a3"/>
              <w:ind w:leftChars="0"/>
              <w:rPr>
                <w:rFonts w:eastAsia="標楷體"/>
              </w:rPr>
            </w:pPr>
          </w:p>
          <w:p w14:paraId="5E806293" w14:textId="77777777" w:rsidR="00E64CA2" w:rsidRDefault="00E64CA2" w:rsidP="00000169">
            <w:pPr>
              <w:pStyle w:val="a3"/>
              <w:ind w:leftChars="0"/>
              <w:rPr>
                <w:rFonts w:eastAsia="標楷體"/>
              </w:rPr>
            </w:pPr>
          </w:p>
          <w:p w14:paraId="3FEC8D10" w14:textId="77777777" w:rsidR="00E64CA2" w:rsidRDefault="00E64CA2" w:rsidP="00000169">
            <w:pPr>
              <w:pStyle w:val="a3"/>
              <w:ind w:leftChars="0"/>
              <w:rPr>
                <w:rFonts w:eastAsia="標楷體"/>
              </w:rPr>
            </w:pPr>
          </w:p>
          <w:p w14:paraId="3AA3F2ED" w14:textId="77777777" w:rsidR="00E64CA2" w:rsidRDefault="00E64CA2" w:rsidP="00000169">
            <w:pPr>
              <w:pStyle w:val="a3"/>
              <w:ind w:leftChars="0"/>
              <w:rPr>
                <w:rFonts w:eastAsia="標楷體"/>
              </w:rPr>
            </w:pPr>
          </w:p>
          <w:p w14:paraId="4CC28A8C" w14:textId="77777777" w:rsidR="00E64CA2" w:rsidRDefault="00E64CA2" w:rsidP="00000169">
            <w:pPr>
              <w:pStyle w:val="a3"/>
              <w:ind w:leftChars="0"/>
              <w:rPr>
                <w:rFonts w:eastAsia="標楷體"/>
              </w:rPr>
            </w:pPr>
          </w:p>
          <w:p w14:paraId="57FFB1E3" w14:textId="77777777" w:rsidR="00E64CA2" w:rsidRDefault="00E64CA2" w:rsidP="00000169">
            <w:pPr>
              <w:pStyle w:val="a3"/>
              <w:ind w:leftChars="0"/>
              <w:rPr>
                <w:rFonts w:eastAsia="標楷體"/>
              </w:rPr>
            </w:pPr>
          </w:p>
          <w:p w14:paraId="5CA49F74" w14:textId="77777777" w:rsidR="00E64CA2" w:rsidRDefault="00E64CA2" w:rsidP="00000169">
            <w:pPr>
              <w:pStyle w:val="a3"/>
              <w:ind w:leftChars="0"/>
              <w:rPr>
                <w:rFonts w:eastAsia="標楷體"/>
              </w:rPr>
            </w:pPr>
          </w:p>
          <w:p w14:paraId="5D98C68E" w14:textId="77777777" w:rsidR="00E64CA2" w:rsidRDefault="00E64CA2" w:rsidP="00000169">
            <w:pPr>
              <w:pStyle w:val="a3"/>
              <w:ind w:leftChars="0"/>
              <w:rPr>
                <w:rFonts w:eastAsia="標楷體"/>
              </w:rPr>
            </w:pPr>
          </w:p>
          <w:p w14:paraId="12909698" w14:textId="490623CE" w:rsidR="00E64CA2" w:rsidRPr="00E64CA2" w:rsidRDefault="00E64CA2" w:rsidP="00E64CA2">
            <w:pPr>
              <w:rPr>
                <w:rFonts w:eastAsia="標楷體" w:hint="eastAsia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E1398" w14:textId="5688E848" w:rsidR="00EA7C0F" w:rsidRDefault="00EA7C0F" w:rsidP="00000169">
            <w:pPr>
              <w:spacing w:line="240" w:lineRule="auto"/>
              <w:rPr>
                <w:rFonts w:eastAsia="標楷體"/>
                <w:szCs w:val="24"/>
              </w:rPr>
            </w:pPr>
          </w:p>
          <w:p w14:paraId="241ED41B" w14:textId="77777777" w:rsidR="00EA7C0F" w:rsidRPr="00EA7C0F" w:rsidRDefault="00EA7C0F" w:rsidP="00000169">
            <w:pPr>
              <w:spacing w:line="240" w:lineRule="auto"/>
              <w:rPr>
                <w:rFonts w:eastAsia="標楷體"/>
                <w:szCs w:val="24"/>
              </w:rPr>
            </w:pPr>
          </w:p>
          <w:p w14:paraId="5FB8447B" w14:textId="77777777" w:rsidR="00EA7C0F" w:rsidRPr="00EA7C0F" w:rsidRDefault="00EA7C0F" w:rsidP="00000169">
            <w:pPr>
              <w:spacing w:line="240" w:lineRule="auto"/>
              <w:rPr>
                <w:rFonts w:eastAsia="標楷體"/>
                <w:szCs w:val="24"/>
              </w:rPr>
            </w:pPr>
          </w:p>
          <w:p w14:paraId="09CA1E70" w14:textId="77777777" w:rsidR="00EA7C0F" w:rsidRPr="00EA7C0F" w:rsidRDefault="00EA7C0F" w:rsidP="00000169">
            <w:pPr>
              <w:spacing w:line="240" w:lineRule="auto"/>
              <w:rPr>
                <w:rFonts w:eastAsia="標楷體"/>
                <w:szCs w:val="24"/>
              </w:rPr>
            </w:pPr>
          </w:p>
          <w:p w14:paraId="21981972" w14:textId="77777777" w:rsidR="00EA7C0F" w:rsidRPr="00EA7C0F" w:rsidRDefault="00EA7C0F" w:rsidP="00000169">
            <w:pPr>
              <w:spacing w:line="240" w:lineRule="auto"/>
              <w:rPr>
                <w:rFonts w:eastAsia="標楷體"/>
                <w:szCs w:val="24"/>
              </w:rPr>
            </w:pPr>
          </w:p>
          <w:p w14:paraId="356B64A7" w14:textId="77777777" w:rsidR="00EA7C0F" w:rsidRPr="00EA7C0F" w:rsidRDefault="00EA7C0F" w:rsidP="00000169">
            <w:pPr>
              <w:spacing w:line="240" w:lineRule="auto"/>
              <w:rPr>
                <w:rFonts w:eastAsia="標楷體"/>
                <w:szCs w:val="24"/>
              </w:rPr>
            </w:pPr>
          </w:p>
          <w:p w14:paraId="5D43ECAB" w14:textId="7401291D" w:rsidR="00EA7C0F" w:rsidRDefault="00EA7C0F" w:rsidP="00000169">
            <w:pPr>
              <w:spacing w:line="240" w:lineRule="auto"/>
              <w:rPr>
                <w:rFonts w:eastAsia="標楷體"/>
                <w:szCs w:val="24"/>
              </w:rPr>
            </w:pPr>
          </w:p>
          <w:p w14:paraId="7514F322" w14:textId="77777777" w:rsidR="00EA7C0F" w:rsidRPr="00EA7C0F" w:rsidRDefault="00EA7C0F" w:rsidP="00000169">
            <w:pPr>
              <w:spacing w:line="240" w:lineRule="auto"/>
              <w:rPr>
                <w:rFonts w:eastAsia="標楷體"/>
                <w:szCs w:val="24"/>
              </w:rPr>
            </w:pPr>
          </w:p>
          <w:p w14:paraId="650EE363" w14:textId="77777777" w:rsidR="00E51AA9" w:rsidRPr="00EA7C0F" w:rsidRDefault="00E51AA9" w:rsidP="00000169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E51AA9" w:rsidRPr="009D26E9" w14:paraId="69C2753E" w14:textId="77777777" w:rsidTr="00873630">
        <w:trPr>
          <w:trHeight w:val="4762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DCD05" w14:textId="77777777" w:rsidR="00E51AA9" w:rsidRDefault="00E51AA9" w:rsidP="00000169">
            <w:pPr>
              <w:spacing w:line="240" w:lineRule="auto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lastRenderedPageBreak/>
              <w:t>觀課</w:t>
            </w:r>
          </w:p>
          <w:p w14:paraId="73D4B960" w14:textId="29FEF1EA" w:rsidR="006E6136" w:rsidRPr="009D26E9" w:rsidRDefault="006E6136" w:rsidP="00000169">
            <w:pPr>
              <w:spacing w:line="240" w:lineRule="auto"/>
              <w:rPr>
                <w:rFonts w:eastAsia="標楷體" w:hint="eastAsia"/>
                <w:b/>
                <w:szCs w:val="24"/>
              </w:rPr>
            </w:pPr>
            <w:r w:rsidRPr="00C579FD">
              <w:t>Classroom Observation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A81" w14:textId="77777777" w:rsidR="00E51AA9" w:rsidRDefault="00E51AA9" w:rsidP="00000169">
            <w:pPr>
              <w:spacing w:line="240" w:lineRule="auto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學習情境營造</w:t>
            </w:r>
          </w:p>
          <w:p w14:paraId="42D89FDF" w14:textId="1FC504D3" w:rsidR="006E6136" w:rsidRPr="009D26E9" w:rsidRDefault="006E6136" w:rsidP="00000169">
            <w:pPr>
              <w:spacing w:line="240" w:lineRule="auto"/>
              <w:rPr>
                <w:rFonts w:eastAsia="標楷體" w:hint="eastAsia"/>
                <w:b/>
                <w:szCs w:val="24"/>
              </w:rPr>
            </w:pPr>
            <w:r w:rsidRPr="00153834">
              <w:t>Creating Learning Contexts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194ED" w14:textId="281527EE" w:rsidR="006E6136" w:rsidRPr="006E6136" w:rsidRDefault="00E51AA9" w:rsidP="00000169">
            <w:pPr>
              <w:pStyle w:val="a3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bookmarkStart w:id="0" w:name="_GoBack"/>
            <w:bookmarkEnd w:id="0"/>
            <w:r w:rsidRPr="009D26E9">
              <w:rPr>
                <w:rFonts w:eastAsia="標楷體"/>
              </w:rPr>
              <w:t>學習氛圍友善支持、利於學習發生</w:t>
            </w:r>
            <w:r w:rsidR="006E6136" w:rsidRPr="00153834">
              <w:t>Friendly</w:t>
            </w:r>
            <w:r w:rsidR="006E6136">
              <w:t xml:space="preserve"> and </w:t>
            </w:r>
            <w:r w:rsidR="006E6136" w:rsidRPr="00C579FD">
              <w:t>Conducive</w:t>
            </w:r>
            <w:r w:rsidR="006E6136" w:rsidRPr="00153834">
              <w:t xml:space="preserve"> Learning</w:t>
            </w:r>
            <w:r w:rsidR="006E6136">
              <w:t xml:space="preserve"> </w:t>
            </w:r>
            <w:r w:rsidR="006E6136" w:rsidRPr="00153834">
              <w:t>Environment</w:t>
            </w:r>
          </w:p>
          <w:p w14:paraId="4E9739FC" w14:textId="76C3EC86" w:rsidR="006E6136" w:rsidRPr="006E6136" w:rsidRDefault="00E51AA9" w:rsidP="00000169">
            <w:pPr>
              <w:pStyle w:val="a3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具備正向、支持性的師生關係</w:t>
            </w:r>
            <w:r w:rsidR="006E6136" w:rsidRPr="00C579FD">
              <w:t>Positive Teacher-Student Relationship</w:t>
            </w:r>
          </w:p>
          <w:p w14:paraId="4B404189" w14:textId="77777777" w:rsidR="006E6136" w:rsidRDefault="00E51AA9" w:rsidP="00000169">
            <w:pPr>
              <w:pStyle w:val="a3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具備和諧、友善的同儕關係</w:t>
            </w:r>
          </w:p>
          <w:p w14:paraId="68FAD2F8" w14:textId="7B1EFD42" w:rsidR="00E51AA9" w:rsidRPr="009D26E9" w:rsidRDefault="006E6136" w:rsidP="00000169">
            <w:pPr>
              <w:pStyle w:val="a3"/>
              <w:ind w:leftChars="0"/>
              <w:rPr>
                <w:rFonts w:eastAsia="標楷體"/>
              </w:rPr>
            </w:pPr>
            <w:r w:rsidRPr="00C579FD">
              <w:t>Friendly Peer Relationships</w:t>
            </w:r>
            <w:r w:rsidR="00E51AA9" w:rsidRPr="009D26E9">
              <w:rPr>
                <w:rFonts w:eastAsia="標楷體"/>
              </w:rPr>
              <w:t xml:space="preserve">   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519A" w14:textId="77777777" w:rsidR="00E51AA9" w:rsidRPr="009D26E9" w:rsidRDefault="00E51AA9" w:rsidP="00000169">
            <w:pPr>
              <w:spacing w:line="240" w:lineRule="auto"/>
              <w:rPr>
                <w:rFonts w:eastAsia="標楷體"/>
                <w:szCs w:val="24"/>
              </w:rPr>
            </w:pPr>
          </w:p>
          <w:p w14:paraId="31537529" w14:textId="77777777" w:rsidR="00E51AA9" w:rsidRPr="009D26E9" w:rsidRDefault="00E51AA9" w:rsidP="00000169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E51AA9" w:rsidRPr="009D26E9" w14:paraId="6DE96EFE" w14:textId="77777777" w:rsidTr="00873630">
        <w:trPr>
          <w:trHeight w:val="396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8B313" w14:textId="77777777" w:rsidR="00E51AA9" w:rsidRPr="009D26E9" w:rsidRDefault="00E51AA9" w:rsidP="00000169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9F13" w14:textId="77777777" w:rsidR="00E51AA9" w:rsidRDefault="00E51AA9" w:rsidP="00000169">
            <w:pPr>
              <w:spacing w:line="240" w:lineRule="auto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教師教學情形</w:t>
            </w:r>
          </w:p>
          <w:p w14:paraId="229ABACB" w14:textId="4AC1A672" w:rsidR="00E76745" w:rsidRPr="009D26E9" w:rsidRDefault="00E76745" w:rsidP="00000169">
            <w:pPr>
              <w:spacing w:line="240" w:lineRule="auto"/>
              <w:rPr>
                <w:rFonts w:eastAsia="標楷體" w:hint="eastAsia"/>
                <w:b/>
                <w:szCs w:val="24"/>
              </w:rPr>
            </w:pPr>
            <w:r w:rsidRPr="00AD2024">
              <w:t xml:space="preserve">The teaching situation of </w:t>
            </w:r>
            <w:r>
              <w:t xml:space="preserve">the </w:t>
            </w:r>
            <w:r w:rsidRPr="00AD2024">
              <w:t>teacher.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AAEC1" w14:textId="23139374" w:rsidR="00E76745" w:rsidRPr="00E76745" w:rsidRDefault="00E51AA9" w:rsidP="00000169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雙語教學活動流程適當及流暢度</w:t>
            </w:r>
            <w:r w:rsidR="00E76745" w:rsidRPr="00AD2024">
              <w:t>Appropriateness and fluency of bilingual teaching activity process.</w:t>
            </w:r>
          </w:p>
          <w:p w14:paraId="4291DC53" w14:textId="5DFC94B1" w:rsidR="00736839" w:rsidRPr="00736839" w:rsidRDefault="00E51AA9" w:rsidP="00000169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運用教學策略以進行雙語活動的狀況</w:t>
            </w:r>
            <w:r w:rsidR="00736839">
              <w:t>T</w:t>
            </w:r>
            <w:r w:rsidR="00736839" w:rsidRPr="00AD2024">
              <w:t>eaching methods to achieve bilingual instruction.</w:t>
            </w:r>
          </w:p>
          <w:p w14:paraId="761E4D6C" w14:textId="50331421" w:rsidR="00736839" w:rsidRPr="00736839" w:rsidRDefault="00E51AA9" w:rsidP="00000169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運用教學方法以達成雙語授課的狀況</w:t>
            </w:r>
            <w:r w:rsidR="00736839">
              <w:t>T</w:t>
            </w:r>
            <w:r w:rsidR="00736839" w:rsidRPr="00AD2024">
              <w:t>eaching strategies to conduct bilingual activities.</w:t>
            </w:r>
          </w:p>
          <w:p w14:paraId="738095BE" w14:textId="407F4A69" w:rsidR="00736839" w:rsidRPr="00736839" w:rsidRDefault="00E51AA9" w:rsidP="00000169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雙語教學活動對引發學生學習動機的狀況</w:t>
            </w:r>
            <w:r w:rsidR="00736839">
              <w:t>B</w:t>
            </w:r>
            <w:r w:rsidR="00736839" w:rsidRPr="00AD2024">
              <w:t>ilingual teaching activities in stimulating students' learning motivation.</w:t>
            </w:r>
          </w:p>
          <w:p w14:paraId="464CE31E" w14:textId="185A8F37" w:rsidR="00736839" w:rsidRPr="00736839" w:rsidRDefault="00E51AA9" w:rsidP="00000169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教師對學生學習（學科與雙語部分）之關照</w:t>
            </w:r>
            <w:r w:rsidR="00736839" w:rsidRPr="00AD2024">
              <w:t>Teachers' care for students' learning (both subject-specific and bilingual).</w:t>
            </w:r>
          </w:p>
          <w:p w14:paraId="080FED43" w14:textId="77777777" w:rsidR="00040540" w:rsidRDefault="00E51AA9" w:rsidP="009C72E0">
            <w:pPr>
              <w:pStyle w:val="a3"/>
              <w:numPr>
                <w:ilvl w:val="0"/>
                <w:numId w:val="3"/>
              </w:numPr>
              <w:ind w:leftChars="0"/>
              <w:rPr>
                <w:rFonts w:eastAsia="標楷體"/>
                <w:color w:val="00B050"/>
              </w:rPr>
            </w:pPr>
            <w:r w:rsidRPr="009D26E9">
              <w:rPr>
                <w:rFonts w:eastAsia="標楷體"/>
              </w:rPr>
              <w:t>教師之應變能力</w:t>
            </w:r>
            <w:r w:rsidR="00736839" w:rsidRPr="00736839">
              <w:rPr>
                <w:rFonts w:eastAsia="標楷體"/>
              </w:rPr>
              <w:t>Teachers' adaptability</w:t>
            </w:r>
            <w:r w:rsidR="00736839" w:rsidRPr="00736839">
              <w:rPr>
                <w:rFonts w:eastAsia="標楷體"/>
                <w:color w:val="00B050"/>
              </w:rPr>
              <w:t>.</w:t>
            </w:r>
          </w:p>
          <w:p w14:paraId="036F4DD3" w14:textId="77777777" w:rsidR="005869EB" w:rsidRDefault="005869EB" w:rsidP="005869EB">
            <w:pPr>
              <w:rPr>
                <w:rFonts w:eastAsia="標楷體"/>
                <w:color w:val="00B050"/>
              </w:rPr>
            </w:pPr>
          </w:p>
          <w:p w14:paraId="5DA2B908" w14:textId="77777777" w:rsidR="005869EB" w:rsidRDefault="005869EB" w:rsidP="005869EB">
            <w:pPr>
              <w:rPr>
                <w:rFonts w:eastAsia="標楷體"/>
                <w:color w:val="00B050"/>
              </w:rPr>
            </w:pPr>
          </w:p>
          <w:p w14:paraId="36AE482B" w14:textId="77777777" w:rsidR="005869EB" w:rsidRDefault="005869EB" w:rsidP="005869EB">
            <w:pPr>
              <w:rPr>
                <w:rFonts w:eastAsia="標楷體"/>
                <w:color w:val="00B050"/>
              </w:rPr>
            </w:pPr>
          </w:p>
          <w:p w14:paraId="66B20DF6" w14:textId="46A157B3" w:rsidR="005869EB" w:rsidRPr="005869EB" w:rsidRDefault="005869EB" w:rsidP="005869EB">
            <w:pPr>
              <w:rPr>
                <w:rFonts w:eastAsia="標楷體" w:hint="eastAsia"/>
                <w:color w:val="00B05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80FD" w14:textId="77777777" w:rsidR="00E51AA9" w:rsidRPr="009D26E9" w:rsidRDefault="00E51AA9" w:rsidP="00000169">
            <w:pPr>
              <w:spacing w:line="240" w:lineRule="auto"/>
              <w:rPr>
                <w:rFonts w:eastAsia="標楷體"/>
                <w:szCs w:val="24"/>
              </w:rPr>
            </w:pPr>
          </w:p>
          <w:p w14:paraId="283755F5" w14:textId="77777777" w:rsidR="00E51AA9" w:rsidRPr="009D26E9" w:rsidRDefault="00E51AA9" w:rsidP="00000169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E51AA9" w:rsidRPr="009D26E9" w14:paraId="005AD115" w14:textId="77777777" w:rsidTr="00736839">
        <w:trPr>
          <w:trHeight w:val="557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4020E" w14:textId="77777777" w:rsidR="00E51AA9" w:rsidRPr="009D26E9" w:rsidRDefault="00E51AA9" w:rsidP="00000169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505A" w14:textId="77777777" w:rsidR="00E51AA9" w:rsidRDefault="00E51AA9" w:rsidP="00000169">
            <w:pPr>
              <w:spacing w:line="240" w:lineRule="auto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學生歷程表現</w:t>
            </w:r>
          </w:p>
          <w:p w14:paraId="44DFAF9F" w14:textId="404D67BC" w:rsidR="00736839" w:rsidRPr="009D26E9" w:rsidRDefault="00736839" w:rsidP="00000169">
            <w:pPr>
              <w:spacing w:line="240" w:lineRule="auto"/>
              <w:rPr>
                <w:rFonts w:eastAsia="標楷體" w:hint="eastAsia"/>
                <w:b/>
                <w:szCs w:val="24"/>
              </w:rPr>
            </w:pPr>
            <w:r w:rsidRPr="00AD2024">
              <w:t>Students' performance and progress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14D1D" w14:textId="4B02CC05" w:rsidR="00E51AA9" w:rsidRPr="00736839" w:rsidRDefault="00E51AA9" w:rsidP="00000169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 w:hint="eastAsia"/>
              </w:rPr>
            </w:pPr>
            <w:r w:rsidRPr="009D26E9">
              <w:rPr>
                <w:rFonts w:eastAsia="標楷體"/>
              </w:rPr>
              <w:t>學生雙語發言或討論的狀況</w:t>
            </w:r>
            <w:r w:rsidR="00736839" w:rsidRPr="00AD2024">
              <w:t>The situation of students' bilingual speaking or discussions</w:t>
            </w:r>
          </w:p>
          <w:p w14:paraId="00254994" w14:textId="0DDABD20" w:rsidR="00736839" w:rsidRPr="00736839" w:rsidRDefault="00E51AA9" w:rsidP="00000169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 w:hint="eastAsia"/>
              </w:rPr>
            </w:pPr>
            <w:r w:rsidRPr="00736839">
              <w:rPr>
                <w:rFonts w:eastAsia="標楷體"/>
              </w:rPr>
              <w:t>學生對雙語學習的投入狀況</w:t>
            </w:r>
            <w:r w:rsidR="00736839" w:rsidRPr="00B457F1">
              <w:t>The level of students' engagement in bilingual learning.</w:t>
            </w:r>
          </w:p>
          <w:p w14:paraId="07B70B88" w14:textId="6928CF27" w:rsidR="00E51AA9" w:rsidRDefault="00E51AA9" w:rsidP="00000169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學生對雙語學習困難的解決情況（或對雙語授課的反應）</w:t>
            </w:r>
          </w:p>
          <w:p w14:paraId="5D9FF0D8" w14:textId="5BE77AF7" w:rsidR="00736839" w:rsidRPr="009D26E9" w:rsidRDefault="00736839" w:rsidP="00000169">
            <w:pPr>
              <w:pStyle w:val="a3"/>
              <w:ind w:leftChars="0"/>
              <w:rPr>
                <w:rFonts w:eastAsia="標楷體" w:hint="eastAsia"/>
              </w:rPr>
            </w:pPr>
            <w:r w:rsidRPr="00B457F1">
              <w:t>The situation of students' problem-solving with difficulties in bilingual learning (or their response to bilingual instruction).</w:t>
            </w:r>
          </w:p>
          <w:p w14:paraId="4F09BB26" w14:textId="77777777" w:rsidR="00E51AA9" w:rsidRDefault="00E51AA9" w:rsidP="00000169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學習成果與教學目標之關聯性</w:t>
            </w:r>
          </w:p>
          <w:p w14:paraId="14422079" w14:textId="435D7DB7" w:rsidR="00736839" w:rsidRPr="009D26E9" w:rsidRDefault="00736839" w:rsidP="00000169">
            <w:pPr>
              <w:pStyle w:val="a3"/>
              <w:ind w:leftChars="0"/>
              <w:rPr>
                <w:rFonts w:eastAsia="標楷體" w:hint="eastAsia"/>
              </w:rPr>
            </w:pPr>
            <w:r w:rsidRPr="00B457F1">
              <w:t>The correlation between learning outcomes and teaching objectives.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810C" w14:textId="77777777" w:rsidR="00E51AA9" w:rsidRPr="009D26E9" w:rsidRDefault="00E51AA9" w:rsidP="00000169">
            <w:pPr>
              <w:spacing w:line="240" w:lineRule="auto"/>
              <w:rPr>
                <w:rFonts w:eastAsia="標楷體"/>
                <w:szCs w:val="24"/>
              </w:rPr>
            </w:pPr>
          </w:p>
          <w:p w14:paraId="243780F4" w14:textId="77777777" w:rsidR="00E51AA9" w:rsidRPr="009D26E9" w:rsidRDefault="00E51AA9" w:rsidP="00000169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E51AA9" w:rsidRPr="009D26E9" w14:paraId="65E090D3" w14:textId="77777777" w:rsidTr="00873630">
        <w:trPr>
          <w:trHeight w:val="35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E33" w14:textId="77777777" w:rsidR="00E51AA9" w:rsidRPr="009D26E9" w:rsidRDefault="00E51AA9" w:rsidP="00000169">
            <w:pPr>
              <w:spacing w:line="240" w:lineRule="auto"/>
              <w:rPr>
                <w:rFonts w:eastAsia="標楷體"/>
                <w:szCs w:val="24"/>
              </w:rPr>
            </w:pPr>
          </w:p>
          <w:p w14:paraId="0DDA3D85" w14:textId="4ADBC78F" w:rsidR="00E51AA9" w:rsidRPr="009D26E9" w:rsidRDefault="00E51AA9" w:rsidP="00000169">
            <w:pPr>
              <w:spacing w:line="240" w:lineRule="auto"/>
              <w:rPr>
                <w:rFonts w:eastAsia="標楷體"/>
                <w:b/>
                <w:szCs w:val="24"/>
              </w:rPr>
            </w:pPr>
            <w:proofErr w:type="gramStart"/>
            <w:r w:rsidRPr="009D26E9">
              <w:rPr>
                <w:rFonts w:eastAsia="標楷體"/>
                <w:b/>
                <w:szCs w:val="24"/>
              </w:rPr>
              <w:t>議課</w:t>
            </w:r>
            <w:proofErr w:type="gramEnd"/>
            <w:r w:rsidR="00040540" w:rsidRPr="00B457F1">
              <w:t>Lesson discussion.</w:t>
            </w:r>
          </w:p>
        </w:tc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D263" w14:textId="5FE31334" w:rsidR="00040540" w:rsidRPr="009D26E9" w:rsidRDefault="00E51AA9" w:rsidP="00040540">
            <w:pPr>
              <w:spacing w:line="360" w:lineRule="auto"/>
              <w:jc w:val="both"/>
              <w:rPr>
                <w:rFonts w:eastAsia="標楷體"/>
                <w:szCs w:val="24"/>
              </w:rPr>
            </w:pPr>
            <w:proofErr w:type="gramStart"/>
            <w:r w:rsidRPr="009D26E9">
              <w:rPr>
                <w:rFonts w:eastAsia="標楷體"/>
                <w:b/>
                <w:szCs w:val="24"/>
              </w:rPr>
              <w:t>觀課教師</w:t>
            </w:r>
            <w:proofErr w:type="gramEnd"/>
            <w:r w:rsidRPr="009D26E9">
              <w:rPr>
                <w:rFonts w:eastAsia="標楷體"/>
                <w:b/>
                <w:szCs w:val="24"/>
              </w:rPr>
              <w:t>的學習與收穫</w:t>
            </w:r>
            <w:r w:rsidR="00040540" w:rsidRPr="00B457F1">
              <w:rPr>
                <w:rFonts w:eastAsia="標楷體"/>
                <w:szCs w:val="24"/>
              </w:rPr>
              <w:t>Learning and gains of the observed teachers</w:t>
            </w:r>
            <w:r w:rsidR="00040540">
              <w:rPr>
                <w:rFonts w:eastAsia="標楷體"/>
                <w:szCs w:val="24"/>
              </w:rPr>
              <w:t>:</w:t>
            </w:r>
          </w:p>
          <w:p w14:paraId="0876C1A8" w14:textId="77777777" w:rsidR="00E51AA9" w:rsidRPr="009D26E9" w:rsidRDefault="00E51AA9" w:rsidP="00000169">
            <w:pPr>
              <w:spacing w:line="240" w:lineRule="auto"/>
              <w:rPr>
                <w:rFonts w:eastAsia="標楷體"/>
                <w:szCs w:val="24"/>
              </w:rPr>
            </w:pPr>
          </w:p>
          <w:p w14:paraId="4EEFEF32" w14:textId="77777777" w:rsidR="00E51AA9" w:rsidRPr="009D26E9" w:rsidRDefault="00E51AA9" w:rsidP="00000169">
            <w:pPr>
              <w:spacing w:line="240" w:lineRule="auto"/>
              <w:rPr>
                <w:rFonts w:eastAsia="標楷體"/>
                <w:szCs w:val="24"/>
              </w:rPr>
            </w:pPr>
          </w:p>
          <w:p w14:paraId="65B82E99" w14:textId="77777777" w:rsidR="00E51AA9" w:rsidRPr="009D26E9" w:rsidRDefault="00E51AA9" w:rsidP="00000169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</w:tbl>
    <w:p w14:paraId="7320E868" w14:textId="77777777" w:rsidR="00E51AA9" w:rsidRDefault="00E51AA9">
      <w:pPr>
        <w:widowControl/>
        <w:adjustRightInd/>
        <w:spacing w:line="240" w:lineRule="auto"/>
        <w:textAlignment w:val="auto"/>
        <w:rPr>
          <w:rFonts w:eastAsia="標楷體"/>
          <w:b/>
          <w:sz w:val="28"/>
          <w:szCs w:val="24"/>
        </w:rPr>
      </w:pPr>
    </w:p>
    <w:sectPr w:rsidR="00E51AA9" w:rsidSect="00E51AA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79248" w14:textId="77777777" w:rsidR="00C14208" w:rsidRDefault="00C14208" w:rsidP="002F1FCA">
      <w:pPr>
        <w:spacing w:line="240" w:lineRule="auto"/>
      </w:pPr>
      <w:r>
        <w:separator/>
      </w:r>
    </w:p>
  </w:endnote>
  <w:endnote w:type="continuationSeparator" w:id="0">
    <w:p w14:paraId="4533A321" w14:textId="77777777" w:rsidR="00C14208" w:rsidRDefault="00C14208" w:rsidP="002F1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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1246603"/>
      <w:docPartObj>
        <w:docPartGallery w:val="Page Numbers (Bottom of Page)"/>
        <w:docPartUnique/>
      </w:docPartObj>
    </w:sdtPr>
    <w:sdtEndPr/>
    <w:sdtContent>
      <w:p w14:paraId="1BC8D433" w14:textId="77777777" w:rsidR="00EA7C0F" w:rsidRDefault="002F1FCA">
        <w:pPr>
          <w:pStyle w:val="a8"/>
          <w:jc w:val="center"/>
        </w:pPr>
        <w:r w:rsidRPr="002F1FCA">
          <w:rPr>
            <w:rFonts w:eastAsia="標楷體"/>
            <w:sz w:val="22"/>
            <w:szCs w:val="24"/>
          </w:rPr>
          <w:t>雙語課程</w:t>
        </w:r>
        <w:proofErr w:type="gramStart"/>
        <w:r w:rsidRPr="002F1FCA">
          <w:rPr>
            <w:rFonts w:eastAsia="標楷體"/>
            <w:sz w:val="22"/>
            <w:szCs w:val="24"/>
          </w:rPr>
          <w:t>說觀議課</w:t>
        </w:r>
        <w:proofErr w:type="gramEnd"/>
        <w:r w:rsidRPr="002F1FCA">
          <w:rPr>
            <w:rFonts w:eastAsia="標楷體"/>
            <w:sz w:val="22"/>
            <w:szCs w:val="24"/>
          </w:rPr>
          <w:t>紀錄</w:t>
        </w:r>
        <w:r w:rsidR="0001513B">
          <w:rPr>
            <w:rFonts w:eastAsia="標楷體" w:hint="eastAsia"/>
            <w:sz w:val="22"/>
            <w:szCs w:val="24"/>
          </w:rPr>
          <w:t>A</w:t>
        </w:r>
        <w:r w:rsidR="0001513B">
          <w:rPr>
            <w:rFonts w:eastAsia="標楷體" w:hint="eastAsia"/>
            <w:sz w:val="22"/>
            <w:szCs w:val="24"/>
          </w:rPr>
          <w:t>版</w:t>
        </w:r>
        <w:r w:rsidRPr="002F1FCA">
          <w:rPr>
            <w:rFonts w:eastAsia="標楷體" w:hint="eastAsia"/>
            <w:sz w:val="22"/>
            <w:szCs w:val="24"/>
          </w:rPr>
          <w:t>_</w:t>
        </w:r>
        <w:r w:rsidRPr="002F1FCA">
          <w:rPr>
            <w:rFonts w:eastAsia="標楷體"/>
            <w:color w:val="000000"/>
            <w:spacing w:val="-8"/>
            <w:sz w:val="22"/>
            <w:szCs w:val="27"/>
          </w:rPr>
          <w:t>本土雙語教育模式</w:t>
        </w:r>
        <w:r>
          <w:rPr>
            <w:rFonts w:eastAsia="標楷體" w:hint="eastAsia"/>
            <w:b/>
            <w:color w:val="000000"/>
            <w:spacing w:val="-8"/>
            <w:sz w:val="24"/>
            <w:szCs w:val="27"/>
          </w:rPr>
          <w:t xml:space="preserve"> </w:t>
        </w:r>
        <w:r>
          <w:t xml:space="preserve">p.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95AF3" w:rsidRPr="00795AF3">
          <w:rPr>
            <w:noProof/>
            <w:lang w:val="zh-TW"/>
          </w:rPr>
          <w:t>1</w:t>
        </w:r>
        <w:r>
          <w:fldChar w:fldCharType="end"/>
        </w:r>
      </w:p>
      <w:p w14:paraId="574B0C70" w14:textId="3798EDA3" w:rsidR="002F1FCA" w:rsidRPr="001D312F" w:rsidRDefault="00EA7C0F">
        <w:pPr>
          <w:pStyle w:val="a8"/>
          <w:rPr>
            <w:rFonts w:eastAsia="標楷體" w:hint="eastAsia"/>
            <w:sz w:val="22"/>
            <w:szCs w:val="24"/>
          </w:rPr>
        </w:pPr>
        <w:r w:rsidRPr="00EA7C0F">
          <w:rPr>
            <w:rFonts w:eastAsia="標楷體"/>
            <w:sz w:val="22"/>
            <w:szCs w:val="24"/>
          </w:rPr>
          <w:t xml:space="preserve">Integrated Bilingual Teaching in Selected Subject </w:t>
        </w:r>
        <w:proofErr w:type="gramStart"/>
        <w:r w:rsidRPr="00EA7C0F">
          <w:rPr>
            <w:rFonts w:eastAsia="標楷體"/>
            <w:sz w:val="22"/>
            <w:szCs w:val="24"/>
          </w:rPr>
          <w:t xml:space="preserve">Areas </w:t>
        </w:r>
        <w:r w:rsidRPr="00EA7C0F">
          <w:rPr>
            <w:rFonts w:eastAsia="標楷體" w:hint="eastAsia"/>
            <w:sz w:val="22"/>
            <w:szCs w:val="24"/>
          </w:rPr>
          <w:t>:</w:t>
        </w:r>
        <w:proofErr w:type="gramEnd"/>
        <w:r w:rsidRPr="00EA7C0F">
          <w:rPr>
            <w:rFonts w:eastAsia="標楷體" w:hint="eastAsia"/>
            <w:sz w:val="22"/>
            <w:szCs w:val="24"/>
          </w:rPr>
          <w:t xml:space="preserve"> </w:t>
        </w:r>
        <w:r w:rsidRPr="00EA7C0F">
          <w:rPr>
            <w:rFonts w:eastAsia="標楷體"/>
            <w:sz w:val="22"/>
            <w:szCs w:val="24"/>
          </w:rPr>
          <w:t>Localizing Bilingual Education Models in Primary and Secondary Schools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912E7" w14:textId="77777777" w:rsidR="00C14208" w:rsidRDefault="00C14208" w:rsidP="002F1FCA">
      <w:pPr>
        <w:spacing w:line="240" w:lineRule="auto"/>
      </w:pPr>
      <w:r>
        <w:separator/>
      </w:r>
    </w:p>
  </w:footnote>
  <w:footnote w:type="continuationSeparator" w:id="0">
    <w:p w14:paraId="43C72F8A" w14:textId="77777777" w:rsidR="00C14208" w:rsidRDefault="00C14208" w:rsidP="002F1F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6C5B"/>
    <w:multiLevelType w:val="hybridMultilevel"/>
    <w:tmpl w:val="6AFA5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A05008"/>
    <w:multiLevelType w:val="hybridMultilevel"/>
    <w:tmpl w:val="31D2A62E"/>
    <w:lvl w:ilvl="0" w:tplc="A1A24B2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4D198C"/>
    <w:multiLevelType w:val="hybridMultilevel"/>
    <w:tmpl w:val="2D3E1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8A117C"/>
    <w:multiLevelType w:val="hybridMultilevel"/>
    <w:tmpl w:val="05C808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896B708">
      <w:start w:val="2"/>
      <w:numFmt w:val="taiwaneseCountingThousand"/>
      <w:lvlText w:val="%2、"/>
      <w:lvlJc w:val="left"/>
      <w:pPr>
        <w:ind w:left="12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A9"/>
    <w:rsid w:val="00000169"/>
    <w:rsid w:val="0001513B"/>
    <w:rsid w:val="00040540"/>
    <w:rsid w:val="0005293C"/>
    <w:rsid w:val="001D312F"/>
    <w:rsid w:val="002F1FCA"/>
    <w:rsid w:val="005869EB"/>
    <w:rsid w:val="00614C5D"/>
    <w:rsid w:val="006528DC"/>
    <w:rsid w:val="006E6136"/>
    <w:rsid w:val="00736839"/>
    <w:rsid w:val="00795AF3"/>
    <w:rsid w:val="00873630"/>
    <w:rsid w:val="008B0841"/>
    <w:rsid w:val="009C72E0"/>
    <w:rsid w:val="00C14208"/>
    <w:rsid w:val="00C469AF"/>
    <w:rsid w:val="00D70047"/>
    <w:rsid w:val="00E51AA9"/>
    <w:rsid w:val="00E64CA2"/>
    <w:rsid w:val="00E76745"/>
    <w:rsid w:val="00EA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070578"/>
  <w15:chartTrackingRefBased/>
  <w15:docId w15:val="{4B685E6E-BD9B-4095-9D29-19D7C580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AA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1AA9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character" w:customStyle="1" w:styleId="a4">
    <w:name w:val="清單段落 字元"/>
    <w:link w:val="a3"/>
    <w:uiPriority w:val="34"/>
    <w:locked/>
    <w:rsid w:val="00E51AA9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E5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1F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F1FC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1F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F1FC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05293C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284</Words>
  <Characters>1621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Huahua Lin</dc:creator>
  <cp:keywords/>
  <dc:description/>
  <cp:lastModifiedBy>詹夫子</cp:lastModifiedBy>
  <cp:revision>22</cp:revision>
  <dcterms:created xsi:type="dcterms:W3CDTF">2021-09-03T00:21:00Z</dcterms:created>
  <dcterms:modified xsi:type="dcterms:W3CDTF">2023-05-14T14:36:00Z</dcterms:modified>
</cp:coreProperties>
</file>