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922"/>
        <w:gridCol w:w="353"/>
        <w:gridCol w:w="2968"/>
        <w:gridCol w:w="853"/>
        <w:gridCol w:w="3991"/>
      </w:tblGrid>
      <w:tr w:rsidR="00970E06">
        <w:trPr>
          <w:trHeight w:val="423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領域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科目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社會領域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實施</w:t>
            </w:r>
          </w:p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年級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六年級</w:t>
            </w:r>
          </w:p>
        </w:tc>
      </w:tr>
      <w:tr w:rsidR="00970E06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設計者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:rsidR="00970E06" w:rsidRDefault="009A358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鄭世華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970E06" w:rsidRDefault="00C75A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觀察者</w:t>
            </w:r>
            <w:bookmarkStart w:id="0" w:name="_GoBack"/>
            <w:bookmarkEnd w:id="0"/>
          </w:p>
        </w:tc>
        <w:tc>
          <w:tcPr>
            <w:tcW w:w="3991" w:type="dxa"/>
            <w:shd w:val="clear" w:color="auto" w:fill="auto"/>
            <w:vAlign w:val="center"/>
          </w:tcPr>
          <w:p w:rsidR="00970E06" w:rsidRDefault="009A358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陳思蘋</w:t>
            </w:r>
          </w:p>
        </w:tc>
      </w:tr>
      <w:tr w:rsidR="00970E06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教學者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:rsidR="00970E06" w:rsidRDefault="009A358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重視華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節數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970E06" w:rsidRDefault="009A358A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="00506FAB">
              <w:rPr>
                <w:rFonts w:ascii="Times New Roman" w:eastAsia="標楷體" w:hAnsi="Times New Roman" w:cs="Times New Roman" w:hint="eastAsia"/>
                <w:color w:val="000000"/>
              </w:rPr>
              <w:t>節，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  <w:r w:rsidR="00506FAB"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506FAB">
              <w:rPr>
                <w:rFonts w:ascii="Times New Roman" w:eastAsia="標楷體" w:hAnsi="Times New Roman" w:cs="Times New Roman" w:hint="eastAsia"/>
                <w:color w:val="000000"/>
              </w:rPr>
              <w:t>分鐘</w:t>
            </w:r>
          </w:p>
        </w:tc>
      </w:tr>
      <w:tr w:rsidR="00970E06">
        <w:trPr>
          <w:trHeight w:val="454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主題名稱</w:t>
            </w:r>
          </w:p>
        </w:tc>
        <w:tc>
          <w:tcPr>
            <w:tcW w:w="8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06" w:rsidRDefault="00506FA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世界</w:t>
            </w:r>
            <w:r w:rsidR="009A358A">
              <w:rPr>
                <w:rFonts w:ascii="Times New Roman" w:eastAsia="標楷體" w:hAnsi="Times New Roman" w:cs="Times New Roman" w:hint="eastAsia"/>
                <w:color w:val="000000"/>
              </w:rPr>
              <w:t>文化在台灣</w:t>
            </w:r>
          </w:p>
        </w:tc>
      </w:tr>
      <w:tr w:rsidR="00970E06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設計依據</w:t>
            </w:r>
          </w:p>
        </w:tc>
      </w:tr>
      <w:tr w:rsidR="00970E06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學習重點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學習表現</w:t>
            </w:r>
          </w:p>
        </w:tc>
        <w:tc>
          <w:tcPr>
            <w:tcW w:w="4243" w:type="dxa"/>
            <w:gridSpan w:val="3"/>
            <w:shd w:val="clear" w:color="auto" w:fill="auto"/>
          </w:tcPr>
          <w:p w:rsidR="00970E06" w:rsidRDefault="00506FAB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1b-III-3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解析特定人物、族群與事件在所處時間、空間脈絡中的位置與意義。</w:t>
            </w:r>
          </w:p>
          <w:p w:rsidR="00970E06" w:rsidRDefault="00506FAB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2b-III-2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理解不同文化的特色，欣賞並尊重文化的多樣性。</w:t>
            </w:r>
          </w:p>
          <w:p w:rsidR="00970E06" w:rsidRDefault="00506FAB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3b-III-2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摘取及整理社會議題相關資料的重點，判讀其正確性及價值，並加以描述和解釋。</w:t>
            </w:r>
          </w:p>
        </w:tc>
        <w:tc>
          <w:tcPr>
            <w:tcW w:w="853" w:type="dxa"/>
            <w:vMerge w:val="restart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核心素養</w:t>
            </w:r>
          </w:p>
        </w:tc>
        <w:tc>
          <w:tcPr>
            <w:tcW w:w="3991" w:type="dxa"/>
            <w:vMerge w:val="restart"/>
            <w:shd w:val="clear" w:color="auto" w:fill="auto"/>
          </w:tcPr>
          <w:p w:rsidR="00970E06" w:rsidRDefault="00506FAB">
            <w:pPr>
              <w:snapToGrid w:val="0"/>
              <w:ind w:left="1078" w:hangingChars="449" w:hanging="1078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社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-E-C3</w:t>
            </w:r>
            <w:r>
              <w:rPr>
                <w:rFonts w:ascii="Times New Roman" w:eastAsia="標楷體" w:hAnsi="Times New Roman" w:cs="Times New Roman"/>
                <w:color w:val="000000"/>
              </w:rPr>
              <w:tab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了解自我文化，尊重與欣賞多元文化，關心本土及全球議題。</w:t>
            </w:r>
          </w:p>
        </w:tc>
      </w:tr>
      <w:tr w:rsidR="00970E06">
        <w:trPr>
          <w:jc w:val="center"/>
        </w:trPr>
        <w:tc>
          <w:tcPr>
            <w:tcW w:w="741" w:type="dxa"/>
            <w:vMerge/>
            <w:shd w:val="clear" w:color="auto" w:fill="D9D9D9"/>
            <w:vAlign w:val="center"/>
          </w:tcPr>
          <w:p w:rsidR="00970E06" w:rsidRDefault="00970E0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學習內容</w:t>
            </w:r>
          </w:p>
        </w:tc>
        <w:tc>
          <w:tcPr>
            <w:tcW w:w="4243" w:type="dxa"/>
            <w:gridSpan w:val="3"/>
            <w:shd w:val="clear" w:color="auto" w:fill="auto"/>
          </w:tcPr>
          <w:p w:rsidR="00970E06" w:rsidRDefault="00506FAB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Bc-III-1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族群或地區的文化特色，各有其產生的背景因素，因而形塑臺灣多元豐富的文化內涵。</w:t>
            </w:r>
          </w:p>
          <w:p w:rsidR="00970E06" w:rsidRDefault="00506FAB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Cb-III-2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853" w:type="dxa"/>
            <w:vMerge/>
            <w:shd w:val="clear" w:color="auto" w:fill="D9D9D9"/>
            <w:vAlign w:val="center"/>
          </w:tcPr>
          <w:p w:rsidR="00970E06" w:rsidRDefault="00970E06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:rsidR="00970E06" w:rsidRDefault="00970E06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970E06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議題融入說明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970E06" w:rsidRDefault="00506FA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議題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學習主題</w:t>
            </w:r>
          </w:p>
        </w:tc>
        <w:tc>
          <w:tcPr>
            <w:tcW w:w="7812" w:type="dxa"/>
            <w:gridSpan w:val="3"/>
            <w:shd w:val="clear" w:color="auto" w:fill="auto"/>
          </w:tcPr>
          <w:p w:rsidR="00970E06" w:rsidRDefault="00506FAB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海洋教育╱海洋文化</w:t>
            </w:r>
          </w:p>
        </w:tc>
      </w:tr>
      <w:tr w:rsidR="00970E06">
        <w:trPr>
          <w:jc w:val="center"/>
        </w:trPr>
        <w:tc>
          <w:tcPr>
            <w:tcW w:w="741" w:type="dxa"/>
            <w:vMerge/>
            <w:shd w:val="clear" w:color="auto" w:fill="D9D9D9"/>
          </w:tcPr>
          <w:p w:rsidR="00970E06" w:rsidRDefault="00970E06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970E06" w:rsidRDefault="00506FA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實質內涵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970E06" w:rsidRDefault="00506FAB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海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E8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了解海洋民俗活動、宗教信仰與生活的關係。</w:t>
            </w:r>
          </w:p>
        </w:tc>
      </w:tr>
      <w:tr w:rsidR="00970E06">
        <w:trPr>
          <w:jc w:val="center"/>
        </w:trPr>
        <w:tc>
          <w:tcPr>
            <w:tcW w:w="10537" w:type="dxa"/>
            <w:gridSpan w:val="7"/>
            <w:shd w:val="clear" w:color="auto" w:fill="D9D9D9"/>
          </w:tcPr>
          <w:p w:rsidR="00970E06" w:rsidRDefault="00506FAB">
            <w:pPr>
              <w:ind w:left="1067" w:hangingChars="444" w:hanging="106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與其他領域／科目的連結</w:t>
            </w:r>
          </w:p>
        </w:tc>
      </w:tr>
      <w:tr w:rsidR="00970E06">
        <w:trPr>
          <w:jc w:val="center"/>
        </w:trPr>
        <w:tc>
          <w:tcPr>
            <w:tcW w:w="10537" w:type="dxa"/>
            <w:gridSpan w:val="7"/>
            <w:shd w:val="clear" w:color="auto" w:fill="auto"/>
          </w:tcPr>
          <w:p w:rsidR="00970E06" w:rsidRDefault="00506FAB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綜合領域</w:t>
            </w:r>
          </w:p>
          <w:p w:rsidR="00970E06" w:rsidRDefault="00506FAB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Cc-III-3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生活在不同文化中的經驗和感受。</w:t>
            </w:r>
          </w:p>
          <w:p w:rsidR="00970E06" w:rsidRDefault="00506FAB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Cc-III-4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對不同族群的尊重、欣賞與關懷。</w:t>
            </w:r>
          </w:p>
        </w:tc>
      </w:tr>
      <w:tr w:rsidR="00970E06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學習目標</w:t>
            </w:r>
          </w:p>
        </w:tc>
      </w:tr>
      <w:tr w:rsidR="00970E06">
        <w:trPr>
          <w:trHeight w:val="1313"/>
          <w:jc w:val="center"/>
        </w:trPr>
        <w:tc>
          <w:tcPr>
            <w:tcW w:w="10537" w:type="dxa"/>
            <w:gridSpan w:val="7"/>
            <w:shd w:val="clear" w:color="auto" w:fill="auto"/>
          </w:tcPr>
          <w:p w:rsidR="00970E06" w:rsidRDefault="00506FAB">
            <w:pPr>
              <w:pStyle w:val="a4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探究最早宗教形成的原因，並分析臺灣主要的宗教信仰。（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2b-III-2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Cb-III-2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:rsidR="00970E06" w:rsidRDefault="00506FAB">
            <w:pPr>
              <w:pStyle w:val="a4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比較基督宗教與伊斯蘭教的差異，與對臺灣產生的影響。（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1b-III-3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Cb-III-2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:rsidR="00970E06" w:rsidRDefault="00506FAB">
            <w:pPr>
              <w:pStyle w:val="a4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佛教與道教信仰隨移民帶入臺灣，成為多元豐富的文化。（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1b-III-3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Bc-III-1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:rsidR="00970E06" w:rsidRDefault="00506FAB">
            <w:pPr>
              <w:pStyle w:val="a4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臺灣民間信仰融合佛教與道教，在生活中展現宗教特色。（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3b-III-2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Bc-III-1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</w:tc>
      </w:tr>
    </w:tbl>
    <w:p w:rsidR="00970E06" w:rsidRDefault="00970E06">
      <w:pPr>
        <w:rPr>
          <w:rFonts w:ascii="Times New Roman" w:hAnsi="Times New Roman" w:cs="Times New Roman"/>
        </w:rPr>
        <w:sectPr w:rsidR="00970E0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7088"/>
        <w:gridCol w:w="699"/>
        <w:gridCol w:w="1203"/>
        <w:gridCol w:w="969"/>
      </w:tblGrid>
      <w:tr w:rsidR="00970E06">
        <w:trPr>
          <w:tblHeader/>
          <w:jc w:val="center"/>
        </w:trPr>
        <w:tc>
          <w:tcPr>
            <w:tcW w:w="10728" w:type="dxa"/>
            <w:gridSpan w:val="5"/>
            <w:shd w:val="clear" w:color="auto" w:fill="D9D9D9" w:themeFill="background1" w:themeFillShade="D9"/>
          </w:tcPr>
          <w:p w:rsidR="00970E06" w:rsidRDefault="00506FA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lastRenderedPageBreak/>
              <w:t>學習活動設計</w:t>
            </w:r>
          </w:p>
        </w:tc>
      </w:tr>
      <w:tr w:rsidR="00970E06">
        <w:trPr>
          <w:tblHeader/>
          <w:jc w:val="center"/>
        </w:trPr>
        <w:tc>
          <w:tcPr>
            <w:tcW w:w="769" w:type="dxa"/>
            <w:shd w:val="clear" w:color="auto" w:fill="D9D9D9" w:themeFill="background1" w:themeFillShade="D9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學習目標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學習活動內容及實施方式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教學時間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70E06" w:rsidRDefault="00506FA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970E06">
        <w:trPr>
          <w:jc w:val="center"/>
        </w:trPr>
        <w:tc>
          <w:tcPr>
            <w:tcW w:w="769" w:type="dxa"/>
            <w:shd w:val="clear" w:color="auto" w:fill="auto"/>
          </w:tcPr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92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93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92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93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活動一、信仰的形成與宗教的發展（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分鐘）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壹、學習目標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探究最早宗教形成的原因，並分析臺灣主要的宗教信仰。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貳、學習過程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一、引起動機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教師播放影片「崇拜動物靈，虎爺起源傳說」。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教師提出以下問題：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臺灣民間為什麼會有虎爺信仰？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（畏懼老虎的力量，希望透過供奉變成保護自己的神明。）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民間對於虎爺的信仰，認為會特別保佑哪個族群？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（被當作小孩子的守護神，保佑平安順利長大。）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二、閱讀課文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頁的課文與圖片。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教師引導學生進行討論：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早期原住民族對大自然的力量感到敬畏，因而出現哪些崇拜自然的現象？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（臺灣原住民族認為天地萬物都存在神靈，因而創造出山神、太陽神、小米神等信仰，並透過祭典表達感恩。）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早期漢人對大自然的力量感到敬畏，因而出現哪些崇拜自然的現象？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（漢人為求平安與開墾順利，也會祭拜具有神話傳說的石頭、大樹或動物等。）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原住民族獵人，如何展現出對山林的敬畏？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（獵人踏進獵場範圍內，要先對這片土地上的神靈打聲招呼；獵人打獵完畢離去之前，也一樣會對神靈表達感謝。）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臺灣民間社會，為什麼會有「虎爺」的信仰？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傳說老虎以前經常攻擊村莊，傷害百姓與牲畜，於是人們向掌管土地的土地公求助，土地公帶著他的拐杖收服兇惡的老虎，老虎轉換成為人們祭拜的虎爺，以兇猛的威力，驅逐不好的事物，保護百姓的平安與健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請問宗教是如何產生的？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（基於人們對自然的尊敬、畏懼或疑惑，以及對生、老、病、死等人生問題的想法和期許。）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今日臺灣主要的宗教信仰有哪些？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（基督宗教、伊斯蘭教、佛教、道教與民間信仰等。）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三、讀圖練習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我們可以從課本第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頁的圖中（臺灣宗教人口概況百分比）了解臺灣主要宗教的信仰人口比例。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請觀察臺灣哪一種宗教信仰的人口比例最多？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（臺灣民間信仰最多，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49.3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％。）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說一說，你對臺灣常見宗教信仰的認識？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（臺灣常見的民間信仰融合佛教與道教，在寺廟裡可發現不同的神明。例如：觀世音菩薩、媽祖、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土地公、文昌帝君。）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四、統整活動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教師透過以下問題讓學生自己建構本節課的學習重點：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最早的信仰是如何產生？人們為什麼會需要宗教？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（基於人們對自然的尊敬、畏懼或疑惑，以及對生、老、病、死等各階段人生問題的想法和期許。）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從臺灣宗教人口概況百分比，推測宗教信仰發展的情形是如何呢？</w:t>
            </w: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（以民間信仰為大宗，同時還有佛教、道教、基督宗教、伊斯蘭教等，呈現多元發展。）</w:t>
            </w:r>
          </w:p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第１節結束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9" w:type="dxa"/>
            <w:shd w:val="clear" w:color="auto" w:fill="auto"/>
          </w:tcPr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5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5</w:t>
            </w: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觀賞影片並分享所學。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找出課文與圖片重點，專注聆聽並踴躍回答。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認真參與探究與實作。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分享學習內容與重點。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506FA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搭配影片「崇拜動物靈，虎爺起源傳說」。</w:t>
            </w: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70E06" w:rsidRDefault="00970E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970E06" w:rsidRDefault="00970E06">
      <w:pPr>
        <w:rPr>
          <w:rFonts w:ascii="Times New Roman" w:hAnsi="Times New Roman" w:cs="Times New Roman"/>
        </w:rPr>
      </w:pPr>
    </w:p>
    <w:sectPr w:rsidR="00970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AB" w:rsidRDefault="00506FAB">
      <w:r>
        <w:separator/>
      </w:r>
    </w:p>
  </w:endnote>
  <w:endnote w:type="continuationSeparator" w:id="0">
    <w:p w:rsidR="00506FAB" w:rsidRDefault="0050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AB" w:rsidRDefault="00506FAB">
      <w:r>
        <w:separator/>
      </w:r>
    </w:p>
  </w:footnote>
  <w:footnote w:type="continuationSeparator" w:id="0">
    <w:p w:rsidR="00506FAB" w:rsidRDefault="0050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D79"/>
    <w:multiLevelType w:val="hybridMultilevel"/>
    <w:tmpl w:val="27CAF132"/>
    <w:lvl w:ilvl="0" w:tplc="BA6C645E">
      <w:start w:val="1"/>
      <w:numFmt w:val="decimal"/>
      <w:lvlText w:val="%1.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2472D"/>
    <w:multiLevelType w:val="hybridMultilevel"/>
    <w:tmpl w:val="86784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80BE8"/>
    <w:multiLevelType w:val="hybridMultilevel"/>
    <w:tmpl w:val="3F3AE2DC"/>
    <w:lvl w:ilvl="0" w:tplc="A1CE0C38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CF5B8C"/>
    <w:multiLevelType w:val="hybridMultilevel"/>
    <w:tmpl w:val="97CE5FCA"/>
    <w:lvl w:ilvl="0" w:tplc="8D0213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C7046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A6578"/>
    <w:multiLevelType w:val="hybridMultilevel"/>
    <w:tmpl w:val="C5FE20DA"/>
    <w:lvl w:ilvl="0" w:tplc="08DE8F44">
      <w:start w:val="1"/>
      <w:numFmt w:val="taiwaneseCountingThousand"/>
      <w:lvlText w:val="%1、"/>
      <w:lvlJc w:val="left"/>
      <w:pPr>
        <w:ind w:left="45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6" w15:restartNumberingAfterBreak="0">
    <w:nsid w:val="2F23088E"/>
    <w:multiLevelType w:val="hybridMultilevel"/>
    <w:tmpl w:val="72D25AAC"/>
    <w:lvl w:ilvl="0" w:tplc="649AE84C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520A03"/>
    <w:multiLevelType w:val="hybridMultilevel"/>
    <w:tmpl w:val="943AD91C"/>
    <w:lvl w:ilvl="0" w:tplc="88D0FE5A">
      <w:start w:val="1"/>
      <w:numFmt w:val="decimal"/>
      <w:lvlText w:val="%1.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520F1"/>
    <w:multiLevelType w:val="hybridMultilevel"/>
    <w:tmpl w:val="D9867B78"/>
    <w:lvl w:ilvl="0" w:tplc="7332C0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D4814"/>
    <w:multiLevelType w:val="hybridMultilevel"/>
    <w:tmpl w:val="F6F22512"/>
    <w:lvl w:ilvl="0" w:tplc="869C86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00540A"/>
    <w:multiLevelType w:val="hybridMultilevel"/>
    <w:tmpl w:val="B8F41AC4"/>
    <w:lvl w:ilvl="0" w:tplc="6F2A0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520BF"/>
    <w:multiLevelType w:val="hybridMultilevel"/>
    <w:tmpl w:val="08E80CBE"/>
    <w:lvl w:ilvl="0" w:tplc="C3261A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2F02B9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D84559"/>
    <w:multiLevelType w:val="hybridMultilevel"/>
    <w:tmpl w:val="6E52B204"/>
    <w:lvl w:ilvl="0" w:tplc="AD423A0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B04142"/>
    <w:multiLevelType w:val="hybridMultilevel"/>
    <w:tmpl w:val="653C3E06"/>
    <w:lvl w:ilvl="0" w:tplc="F7CE35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E2573D"/>
    <w:multiLevelType w:val="hybridMultilevel"/>
    <w:tmpl w:val="C388E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929DC"/>
    <w:multiLevelType w:val="hybridMultilevel"/>
    <w:tmpl w:val="150E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06"/>
    <w:rsid w:val="00506FAB"/>
    <w:rsid w:val="00970E06"/>
    <w:rsid w:val="009A358A"/>
    <w:rsid w:val="00AE0905"/>
    <w:rsid w:val="00C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2276"/>
  <w15:docId w15:val="{78832DAC-197E-43F9-B16D-7864B17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Chars="200" w:left="480"/>
    </w:pPr>
  </w:style>
  <w:style w:type="character" w:customStyle="1" w:styleId="a5">
    <w:name w:val="清單段落 字元"/>
    <w:link w:val="a4"/>
    <w:uiPriority w:val="34"/>
    <w:locked/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DCCB-9F21-4C3D-81FF-2505407D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陳昱凱</dc:creator>
  <cp:lastModifiedBy>Administrator</cp:lastModifiedBy>
  <cp:revision>2</cp:revision>
  <dcterms:created xsi:type="dcterms:W3CDTF">2024-11-04T01:57:00Z</dcterms:created>
  <dcterms:modified xsi:type="dcterms:W3CDTF">2024-11-04T01:57:00Z</dcterms:modified>
</cp:coreProperties>
</file>