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04" w:rsidRDefault="00196E00" w:rsidP="00181A04">
      <w:pPr>
        <w:pStyle w:val="1"/>
        <w:spacing w:after="240" w:line="240" w:lineRule="auto"/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114</w:t>
      </w:r>
      <w:bookmarkStart w:id="0" w:name="_GoBack"/>
      <w:bookmarkEnd w:id="0"/>
      <w:r w:rsidR="00CD034C">
        <w:rPr>
          <w:rFonts w:ascii="新細明體" w:hAnsi="新細明體" w:hint="eastAsia"/>
          <w:lang w:eastAsia="zh-TW"/>
        </w:rPr>
        <w:t>學年度上學期</w:t>
      </w:r>
      <w:r w:rsidR="002E7C13">
        <w:rPr>
          <w:rFonts w:ascii="新細明體" w:hAnsi="新細明體" w:hint="eastAsia"/>
          <w:lang w:eastAsia="zh-TW"/>
        </w:rPr>
        <w:t>101</w:t>
      </w:r>
      <w:r w:rsidR="00CD034C">
        <w:rPr>
          <w:rFonts w:ascii="新細明體" w:hAnsi="新細明體" w:hint="eastAsia"/>
          <w:lang w:eastAsia="zh-TW"/>
        </w:rPr>
        <w:t>班公開授課教案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779"/>
        <w:gridCol w:w="187"/>
        <w:gridCol w:w="2656"/>
        <w:gridCol w:w="1450"/>
        <w:gridCol w:w="1112"/>
        <w:gridCol w:w="281"/>
        <w:gridCol w:w="2843"/>
      </w:tblGrid>
      <w:tr w:rsidR="00181A04" w:rsidRPr="008E5DE9" w:rsidTr="00510EAF">
        <w:trPr>
          <w:trHeight w:val="659"/>
          <w:jc w:val="center"/>
        </w:trPr>
        <w:tc>
          <w:tcPr>
            <w:tcW w:w="174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單元名稱</w:t>
            </w:r>
          </w:p>
        </w:tc>
        <w:tc>
          <w:tcPr>
            <w:tcW w:w="284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C13" w:rsidRDefault="002E7C13" w:rsidP="00510EAF">
            <w:pPr>
              <w:snapToGrid w:val="0"/>
              <w:jc w:val="center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生活</w:t>
            </w:r>
            <w:r w:rsidR="00181A04">
              <w:rPr>
                <w:rFonts w:eastAsia="標楷體" w:hAnsi="標楷體" w:hint="eastAsia"/>
                <w:noProof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>六</w:t>
            </w:r>
            <w:r w:rsidR="00181A04">
              <w:rPr>
                <w:rFonts w:eastAsia="標楷體" w:hAnsi="標楷體" w:hint="eastAsia"/>
                <w:noProof/>
                <w:color w:val="000000"/>
              </w:rPr>
              <w:t>單元</w:t>
            </w:r>
          </w:p>
          <w:p w:rsidR="00181A04" w:rsidRPr="008E5DE9" w:rsidRDefault="00CD034C" w:rsidP="00510EAF">
            <w:pPr>
              <w:snapToGrid w:val="0"/>
              <w:jc w:val="center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 xml:space="preserve"> </w:t>
            </w:r>
            <w:r w:rsidR="00196E00">
              <w:rPr>
                <w:rFonts w:eastAsia="標楷體" w:hAnsi="標楷體" w:hint="eastAsia"/>
                <w:noProof/>
                <w:color w:val="000000"/>
              </w:rPr>
              <w:t>新的一年</w:t>
            </w:r>
          </w:p>
        </w:tc>
        <w:tc>
          <w:tcPr>
            <w:tcW w:w="284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181A04" w:rsidRPr="008E5DE9" w:rsidRDefault="00094ABE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>
              <w:rPr>
                <w:rFonts w:eastAsia="標楷體" w:hAnsi="標楷體" w:hint="eastAsia"/>
                <w:b/>
                <w:noProof/>
                <w:color w:val="000000"/>
              </w:rPr>
              <w:t>授課</w:t>
            </w:r>
            <w:r w:rsidR="00181A04" w:rsidRPr="008E5DE9">
              <w:rPr>
                <w:rFonts w:eastAsia="標楷體" w:hAnsi="標楷體" w:hint="eastAsia"/>
                <w:b/>
                <w:noProof/>
                <w:color w:val="000000"/>
              </w:rPr>
              <w:t>節數</w:t>
            </w:r>
          </w:p>
        </w:tc>
        <w:tc>
          <w:tcPr>
            <w:tcW w:w="28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81A04" w:rsidRPr="008E5DE9" w:rsidRDefault="00094ABE" w:rsidP="00510EAF">
            <w:pPr>
              <w:snapToGrid w:val="0"/>
              <w:jc w:val="center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1</w:t>
            </w:r>
            <w:r w:rsidR="00181A04" w:rsidRPr="008E5DE9">
              <w:rPr>
                <w:rFonts w:eastAsia="標楷體" w:hAnsi="標楷體" w:hint="eastAsia"/>
                <w:noProof/>
                <w:color w:val="000000"/>
              </w:rPr>
              <w:t>節，</w:t>
            </w:r>
            <w:r w:rsidR="00181A04" w:rsidRPr="003D1644">
              <w:rPr>
                <w:rFonts w:ascii="標楷體" w:eastAsia="標楷體" w:hAnsi="標楷體" w:hint="eastAsia"/>
                <w:noProof/>
                <w:color w:val="000000"/>
              </w:rPr>
              <w:t>40</w:t>
            </w:r>
            <w:r w:rsidR="00181A04" w:rsidRPr="008E5DE9">
              <w:rPr>
                <w:rFonts w:eastAsia="標楷體" w:hAnsi="標楷體" w:hint="eastAsia"/>
                <w:noProof/>
                <w:color w:val="000000"/>
              </w:rPr>
              <w:t>分鐘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/>
                <w:b/>
                <w:noProof/>
                <w:color w:val="000000"/>
              </w:rPr>
              <w:t>設計依據</w:t>
            </w:r>
          </w:p>
        </w:tc>
      </w:tr>
      <w:tr w:rsidR="00181A04" w:rsidRPr="008E5DE9" w:rsidTr="00510EAF">
        <w:trPr>
          <w:trHeight w:val="405"/>
          <w:jc w:val="center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</w:t>
            </w:r>
          </w:p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重點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學習表現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04" w:rsidRPr="008E5DE9" w:rsidRDefault="002E7C13" w:rsidP="00AB3548">
            <w:pPr>
              <w:spacing w:line="0" w:lineRule="atLeast"/>
              <w:contextualSpacing/>
              <w:rPr>
                <w:rFonts w:eastAsia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1-I-4-1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領域核心素養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181A04" w:rsidRPr="00247CCD" w:rsidRDefault="002E7C13" w:rsidP="002E7C13">
            <w:pPr>
              <w:spacing w:line="0" w:lineRule="atLeast"/>
              <w:ind w:left="41" w:hangingChars="17" w:hanging="41"/>
              <w:contextualSpacing/>
              <w:rPr>
                <w:rFonts w:eastAsia="標楷體" w:hAnsi="標楷體"/>
                <w:noProof/>
                <w:color w:val="0066FF"/>
              </w:rPr>
            </w:pPr>
            <w:r>
              <w:rPr>
                <w:rFonts w:ascii="標楷體" w:eastAsia="標楷體" w:hAnsi="標楷體" w:cs="細明體" w:hint="eastAsia"/>
                <w:b/>
                <w:szCs w:val="20"/>
              </w:rPr>
              <w:t>生活</w:t>
            </w:r>
            <w:r w:rsidR="00247CCD">
              <w:rPr>
                <w:rFonts w:ascii="標楷體" w:eastAsia="標楷體" w:hAnsi="標楷體" w:cs="細明體" w:hint="eastAsia"/>
                <w:b/>
                <w:szCs w:val="20"/>
              </w:rPr>
              <w:t>-E-B</w:t>
            </w:r>
            <w:r>
              <w:rPr>
                <w:rFonts w:ascii="標楷體" w:eastAsia="標楷體" w:hAnsi="標楷體" w:cs="細明體" w:hint="eastAsia"/>
                <w:b/>
                <w:szCs w:val="20"/>
              </w:rPr>
              <w:t>3</w:t>
            </w:r>
            <w:r w:rsidR="008958DC">
              <w:rPr>
                <w:rFonts w:ascii="標楷體" w:eastAsia="標楷體" w:hAnsi="標楷體" w:cs="細明體" w:hint="eastAsia"/>
                <w:b/>
                <w:szCs w:val="20"/>
              </w:rPr>
              <w:t>感知和欣賞美的人事物:受生活中人事物的美，欣賞美的多元形式表現，體驗生活的美好。</w:t>
            </w:r>
          </w:p>
        </w:tc>
      </w:tr>
      <w:tr w:rsidR="00181A04" w:rsidRPr="008E5DE9" w:rsidTr="00510EAF">
        <w:trPr>
          <w:trHeight w:val="405"/>
          <w:jc w:val="center"/>
        </w:trPr>
        <w:tc>
          <w:tcPr>
            <w:tcW w:w="9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學習內容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8" w:rsidRPr="00AB3548" w:rsidRDefault="00AB3548" w:rsidP="00AB3548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N-2-6乘法:乘法的意義與應用。</w:t>
            </w:r>
            <w:r w:rsidRPr="00AB3548">
              <w:rPr>
                <w:rFonts w:ascii="標楷體" w:eastAsia="標楷體" w:hAnsi="標楷體" w:hint="eastAsia"/>
              </w:rPr>
              <w:t>在學習乘法過程，逐步發展倍的概念，作為統整乘法應用情境的語言。</w:t>
            </w:r>
          </w:p>
          <w:p w:rsidR="00181A04" w:rsidRPr="008E5DE9" w:rsidRDefault="00AB3548" w:rsidP="00AB3548">
            <w:pPr>
              <w:spacing w:line="0" w:lineRule="atLeast"/>
              <w:contextualSpacing/>
              <w:rPr>
                <w:rFonts w:eastAsia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</w:rPr>
              <w:t>N-2-7十十乘法:</w:t>
            </w:r>
            <w:r>
              <w:rPr>
                <w:rFonts w:ascii="標楷體" w:eastAsia="標楷體" w:hAnsi="標楷體" w:hint="eastAsia"/>
              </w:rPr>
              <w:t>乘除直式</w:t>
            </w:r>
            <w:r w:rsidRPr="00AB3548">
              <w:rPr>
                <w:rFonts w:ascii="標楷體" w:eastAsia="標楷體" w:hAnsi="標楷體" w:hint="eastAsia"/>
              </w:rPr>
              <w:t>計算的基礎，以熟練為目標。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81A04" w:rsidRPr="008E5DE9" w:rsidRDefault="00181A04" w:rsidP="00510EA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1A04" w:rsidRPr="008E5DE9" w:rsidRDefault="00181A04" w:rsidP="00510EA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</w:p>
        </w:tc>
      </w:tr>
      <w:tr w:rsidR="00181A04" w:rsidRPr="008E5DE9" w:rsidTr="00510EAF">
        <w:trPr>
          <w:trHeight w:val="405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核心素養呼應說明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1A04" w:rsidRPr="00902BE2" w:rsidRDefault="00651BBC" w:rsidP="00510EAF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/>
                <w:kern w:val="2"/>
                <w:sz w:val="24"/>
                <w:szCs w:val="22"/>
                <w:lang w:val="en-US" w:eastAsia="zh-TW"/>
              </w:rPr>
            </w:pPr>
            <w:r>
              <w:rPr>
                <w:rFonts w:eastAsia="標楷體" w:hAnsi="標楷體" w:hint="eastAsia"/>
                <w:noProof/>
                <w:color w:val="000000"/>
                <w:kern w:val="2"/>
                <w:sz w:val="24"/>
                <w:szCs w:val="22"/>
                <w:lang w:val="en-US" w:eastAsia="zh-TW"/>
              </w:rPr>
              <w:t>學習歷程中和學習夥伴討論分享分工合作完成任務，並理解欣賞不同的過年方式。</w:t>
            </w:r>
          </w:p>
        </w:tc>
      </w:tr>
      <w:tr w:rsidR="00181A04" w:rsidRPr="008E5DE9" w:rsidTr="00F86343">
        <w:trPr>
          <w:trHeight w:val="330"/>
          <w:jc w:val="center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議題</w:t>
            </w:r>
          </w:p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融入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實質內涵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0E22" w:rsidRDefault="00900E22" w:rsidP="00F86343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多元文化教育</w:t>
            </w:r>
          </w:p>
          <w:p w:rsidR="00181A04" w:rsidRDefault="00900E22" w:rsidP="00F86343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多E1了解自己的文化特質</w:t>
            </w:r>
          </w:p>
          <w:p w:rsidR="00900E22" w:rsidRPr="00900E22" w:rsidRDefault="00900E22" w:rsidP="00F86343">
            <w:pPr>
              <w:spacing w:line="0" w:lineRule="atLeast"/>
              <w:contextualSpacing/>
              <w:jc w:val="both"/>
              <w:rPr>
                <w:rFonts w:ascii="標楷體" w:eastAsia="標楷體" w:hAnsi="標楷體" w:cs="DFHeiStd-W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多E2建立自己的文化認同與意識</w:t>
            </w:r>
          </w:p>
        </w:tc>
      </w:tr>
      <w:tr w:rsidR="00181A04" w:rsidRPr="008E5DE9" w:rsidTr="00510EAF">
        <w:trPr>
          <w:trHeight w:val="375"/>
          <w:jc w:val="center"/>
        </w:trPr>
        <w:tc>
          <w:tcPr>
            <w:tcW w:w="9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/>
                <w:b/>
                <w:noProof/>
                <w:color w:val="000000"/>
              </w:rPr>
              <w:t>所融入之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學習重點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:rsidR="00181A04" w:rsidRPr="00D96A04" w:rsidRDefault="008958DC" w:rsidP="00510EAF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發表拿到壓歲錢的運用方式，並能對長輩表達感恩與祝福。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與其他領域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/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科目的連結</w:t>
            </w:r>
          </w:p>
        </w:tc>
        <w:tc>
          <w:tcPr>
            <w:tcW w:w="834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81A04" w:rsidRPr="00A32DE5" w:rsidRDefault="008958DC" w:rsidP="00510EAF">
            <w:pPr>
              <w:spacing w:line="0" w:lineRule="atLeast"/>
              <w:contextualSpacing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數學一</w:t>
            </w:r>
            <w:r w:rsidR="00181A04">
              <w:rPr>
                <w:rFonts w:ascii="標楷體" w:eastAsia="標楷體" w:hAnsi="標楷體" w:cs="細明體" w:hint="eastAsia"/>
                <w:szCs w:val="24"/>
              </w:rPr>
              <w:t xml:space="preserve">上 </w:t>
            </w:r>
            <w:r w:rsidR="00181A04" w:rsidRPr="008E7EA7">
              <w:rPr>
                <w:rFonts w:ascii="標楷體" w:eastAsia="標楷體" w:hAnsi="標楷體" w:cs="細明體" w:hint="eastAsia"/>
                <w:szCs w:val="24"/>
              </w:rPr>
              <w:t>第</w:t>
            </w:r>
            <w:r>
              <w:rPr>
                <w:rFonts w:ascii="標楷體" w:eastAsia="標楷體" w:hAnsi="標楷體" w:cs="細明體" w:hint="eastAsia"/>
                <w:szCs w:val="24"/>
              </w:rPr>
              <w:t>六七八單元加減法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學習目標</w:t>
            </w:r>
          </w:p>
        </w:tc>
        <w:tc>
          <w:tcPr>
            <w:tcW w:w="834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81A04" w:rsidRPr="004D6A97" w:rsidRDefault="00651BBC" w:rsidP="004D6A97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能利用祝福紅包表達對長輩的祝福。</w:t>
            </w:r>
          </w:p>
        </w:tc>
      </w:tr>
      <w:tr w:rsidR="00181A04" w:rsidRPr="008E5DE9" w:rsidTr="00510EAF">
        <w:trPr>
          <w:trHeight w:val="50"/>
          <w:jc w:val="center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教材來源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181A04" w:rsidRPr="003D1644" w:rsidRDefault="00677335" w:rsidP="00651BBC">
            <w:pPr>
              <w:snapToGrid w:val="0"/>
              <w:spacing w:line="0" w:lineRule="atLeast"/>
              <w:rPr>
                <w:rFonts w:ascii="標楷體" w:eastAsia="標楷體" w:hAnsi="標楷體"/>
                <w:b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翰林</w:t>
            </w:r>
            <w:r w:rsidR="00651BBC">
              <w:rPr>
                <w:rFonts w:ascii="標楷體" w:eastAsia="標楷體" w:hAnsi="標楷體" w:hint="eastAsia"/>
                <w:szCs w:val="24"/>
              </w:rPr>
              <w:t>版生活1</w:t>
            </w:r>
            <w:r w:rsidR="00181A04" w:rsidRPr="007C740A">
              <w:rPr>
                <w:rFonts w:ascii="標楷體" w:eastAsia="標楷體" w:hAnsi="標楷體" w:hint="eastAsia"/>
                <w:szCs w:val="24"/>
              </w:rPr>
              <w:t>上課本第</w:t>
            </w:r>
            <w:r w:rsidR="00651BBC">
              <w:rPr>
                <w:rFonts w:ascii="標楷體" w:eastAsia="標楷體" w:hAnsi="標楷體" w:hint="eastAsia"/>
                <w:szCs w:val="24"/>
              </w:rPr>
              <w:t>6</w:t>
            </w:r>
            <w:r w:rsidR="00181A04" w:rsidRPr="007C740A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933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教學設備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/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資源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81A04" w:rsidRPr="003D1644" w:rsidRDefault="007406F7" w:rsidP="00510E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noProof/>
                <w:color w:val="000000"/>
                <w:szCs w:val="24"/>
              </w:rPr>
            </w:pPr>
            <w:r w:rsidRPr="007406F7">
              <w:rPr>
                <w:rFonts w:ascii="標楷體" w:eastAsia="標楷體" w:hAnsi="標楷體" w:hint="eastAsia"/>
                <w:szCs w:val="24"/>
              </w:rPr>
              <w:t>附件</w:t>
            </w:r>
            <w:r w:rsidR="00651BBC">
              <w:rPr>
                <w:rFonts w:ascii="標楷體" w:eastAsia="標楷體" w:hAnsi="標楷體" w:hint="eastAsia"/>
                <w:szCs w:val="24"/>
              </w:rPr>
              <w:t>7</w:t>
            </w:r>
            <w:r w:rsidR="00A32DE5">
              <w:rPr>
                <w:rFonts w:ascii="標楷體" w:eastAsia="標楷體" w:hAnsi="標楷體" w:hint="eastAsia"/>
                <w:szCs w:val="24"/>
              </w:rPr>
              <w:t>、教用版電子教科書</w:t>
            </w:r>
          </w:p>
        </w:tc>
      </w:tr>
    </w:tbl>
    <w:p w:rsidR="00181A04" w:rsidRPr="00D84D84" w:rsidRDefault="00181A0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041A77" w:rsidRPr="00D84D84" w:rsidRDefault="00041A77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041A77" w:rsidRPr="00D84D84" w:rsidRDefault="00041A77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041A77" w:rsidRPr="00D84D84" w:rsidRDefault="00041A77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041A77" w:rsidRPr="00D84D84" w:rsidRDefault="00041A77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041A77" w:rsidRDefault="00041A77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D84D84" w:rsidRDefault="00D84D8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D84D84" w:rsidRDefault="00D84D8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D84D84" w:rsidRDefault="00D84D8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D84D84" w:rsidRDefault="00D84D8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D84D84" w:rsidRDefault="00D84D8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D84D84" w:rsidRDefault="00D84D8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452709" w:rsidRDefault="00452709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452709" w:rsidRDefault="00452709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452709" w:rsidRDefault="00452709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452709" w:rsidRDefault="00452709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452709" w:rsidRDefault="00452709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452709" w:rsidRDefault="00452709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452709" w:rsidRDefault="00452709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D84D84" w:rsidRPr="00D84D84" w:rsidRDefault="00D84D8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p w:rsidR="00D84D84" w:rsidRPr="00D84D84" w:rsidRDefault="00D84D84" w:rsidP="00CC4096">
      <w:pPr>
        <w:ind w:leftChars="-413" w:left="33" w:hangingChars="512" w:hanging="1024"/>
        <w:jc w:val="both"/>
        <w:rPr>
          <w:rFonts w:ascii="微軟正黑體" w:eastAsia="微軟正黑體" w:hAnsi="微軟正黑體" w:cs="華康中黑體"/>
          <w:sz w:val="20"/>
          <w:szCs w:val="20"/>
        </w:rPr>
      </w:pPr>
    </w:p>
    <w:tbl>
      <w:tblPr>
        <w:tblW w:w="10207" w:type="dxa"/>
        <w:tblInd w:w="-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1"/>
        <w:gridCol w:w="1064"/>
        <w:gridCol w:w="3162"/>
      </w:tblGrid>
      <w:tr w:rsidR="00181A04" w:rsidRPr="00336138" w:rsidTr="00F86343">
        <w:tc>
          <w:tcPr>
            <w:tcW w:w="1020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81A04" w:rsidRPr="00336138" w:rsidRDefault="00181A04" w:rsidP="00510EAF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lastRenderedPageBreak/>
              <w:t>教學活動設計</w:t>
            </w:r>
          </w:p>
        </w:tc>
      </w:tr>
      <w:tr w:rsidR="00181A04" w:rsidRPr="00336138" w:rsidTr="00F86343">
        <w:tc>
          <w:tcPr>
            <w:tcW w:w="5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81A04" w:rsidRPr="00336138" w:rsidRDefault="00181A04" w:rsidP="00510EAF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教學活動內容及實施方式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81A04" w:rsidRPr="00336138" w:rsidRDefault="00181A04" w:rsidP="00510EAF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81A04" w:rsidRPr="00336138" w:rsidRDefault="00181A04" w:rsidP="00510EAF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81A04" w:rsidRPr="00336138" w:rsidTr="00F86343">
        <w:tc>
          <w:tcPr>
            <w:tcW w:w="5981" w:type="dxa"/>
            <w:tcBorders>
              <w:top w:val="single" w:sz="4" w:space="0" w:color="auto"/>
            </w:tcBorders>
            <w:shd w:val="clear" w:color="auto" w:fill="auto"/>
          </w:tcPr>
          <w:p w:rsidR="007229FD" w:rsidRDefault="007229FD" w:rsidP="0045270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一引起動機</w:t>
            </w:r>
          </w:p>
          <w:p w:rsidR="00181A04" w:rsidRDefault="007229FD" w:rsidP="0045270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教師提問</w:t>
            </w:r>
            <w:r>
              <w:rPr>
                <w:rFonts w:ascii="Times New Roman" w:eastAsia="標楷體" w:hAnsi="Times New Roman" w:hint="eastAsia"/>
              </w:rPr>
              <w:t>:1.</w:t>
            </w:r>
            <w:r>
              <w:rPr>
                <w:rFonts w:ascii="Times New Roman" w:eastAsia="標楷體" w:hAnsi="Times New Roman" w:hint="eastAsia"/>
              </w:rPr>
              <w:t>每到除夕夜，最期待的是什麼</w:t>
            </w:r>
            <w:r>
              <w:rPr>
                <w:rFonts w:ascii="Times New Roman" w:eastAsia="標楷體" w:hAnsi="Times New Roman" w:hint="eastAsia"/>
              </w:rPr>
              <w:t>?</w:t>
            </w:r>
          </w:p>
          <w:p w:rsidR="007229FD" w:rsidRDefault="007229FD" w:rsidP="004527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2.為什麼長輩要發壓歲錢給小孩子?</w:t>
            </w:r>
          </w:p>
          <w:p w:rsidR="007229FD" w:rsidRDefault="007229FD" w:rsidP="004527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鼓勵學童踴躍分享</w:t>
            </w:r>
          </w:p>
          <w:p w:rsidR="007229FD" w:rsidRDefault="007229FD" w:rsidP="004527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二發展活動</w:t>
            </w:r>
          </w:p>
          <w:p w:rsidR="007229FD" w:rsidRPr="007229FD" w:rsidRDefault="007229FD" w:rsidP="004527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老師說明壓歲錢的意義，並請孩子分享如何使用壓歲錢。</w:t>
            </w:r>
          </w:p>
          <w:p w:rsidR="007229FD" w:rsidRDefault="007229FD" w:rsidP="007229FD">
            <w:pPr>
              <w:ind w:left="245" w:hangingChars="102" w:hanging="24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="00C471B1">
              <w:rPr>
                <w:rFonts w:ascii="標楷體" w:eastAsia="標楷體" w:hAnsi="標楷體" w:hint="eastAsia"/>
                <w:b/>
              </w:rPr>
              <w:t>統整</w:t>
            </w:r>
            <w:r w:rsidR="00C471B1" w:rsidRPr="00B15CA1">
              <w:rPr>
                <w:rFonts w:ascii="標楷體" w:eastAsia="標楷體" w:hAnsi="標楷體" w:hint="eastAsia"/>
                <w:b/>
              </w:rPr>
              <w:t>活動</w:t>
            </w:r>
          </w:p>
          <w:p w:rsidR="007229FD" w:rsidRPr="00DE1686" w:rsidRDefault="007229FD" w:rsidP="007229FD">
            <w:pPr>
              <w:ind w:left="245" w:hangingChars="102" w:hanging="24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家人用所有的愛來呵護我們，小孩子也要用感恩的心來珍惜家人們的關愛，</w:t>
            </w:r>
            <w:r w:rsidR="00EC101D">
              <w:rPr>
                <w:rFonts w:ascii="標楷體" w:eastAsia="標楷體" w:hAnsi="標楷體" w:hint="eastAsia"/>
                <w:color w:val="000000"/>
                <w:szCs w:val="24"/>
              </w:rPr>
              <w:t>自己承諾的關愛行動也要逐步實現，才能讓過年的祝福和團圓的意義持續一整年。</w:t>
            </w:r>
          </w:p>
          <w:p w:rsidR="00181A04" w:rsidRPr="00DE1686" w:rsidRDefault="00181A04" w:rsidP="00EC101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Pr="00336138" w:rsidRDefault="00452709" w:rsidP="00510E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81A04">
              <w:rPr>
                <w:rFonts w:ascii="標楷體" w:eastAsia="標楷體" w:hAnsi="標楷體" w:hint="eastAsia"/>
              </w:rPr>
              <w:t>0</w:t>
            </w:r>
            <w:r w:rsidR="00181A04" w:rsidRPr="00336138">
              <w:rPr>
                <w:rFonts w:ascii="標楷體" w:eastAsia="標楷體" w:hAnsi="標楷體" w:hint="eastAsia"/>
              </w:rPr>
              <w:t>分鐘</w:t>
            </w:r>
          </w:p>
          <w:p w:rsidR="00181A04" w:rsidRPr="00336138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Pr="00336138" w:rsidRDefault="00452709" w:rsidP="00510E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  <w:p w:rsidR="00181A04" w:rsidRPr="00336138" w:rsidRDefault="00181A04" w:rsidP="00510EAF">
            <w:pPr>
              <w:rPr>
                <w:rFonts w:ascii="標楷體" w:eastAsia="標楷體" w:hAnsi="標楷體"/>
              </w:rPr>
            </w:pPr>
          </w:p>
          <w:p w:rsidR="00EC101D" w:rsidRDefault="00EC101D" w:rsidP="00510EAF">
            <w:pPr>
              <w:rPr>
                <w:rFonts w:ascii="標楷體" w:eastAsia="標楷體" w:hAnsi="標楷體"/>
              </w:rPr>
            </w:pPr>
          </w:p>
          <w:p w:rsidR="00181A04" w:rsidRPr="00336138" w:rsidRDefault="00452709" w:rsidP="00510E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rPr>
                <w:rFonts w:ascii="標楷體" w:eastAsia="標楷體" w:hAnsi="標楷體"/>
              </w:rPr>
            </w:pPr>
          </w:p>
          <w:p w:rsidR="00181A04" w:rsidRPr="00336138" w:rsidRDefault="00181A04" w:rsidP="00510EAF">
            <w:pPr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  <w:shd w:val="clear" w:color="auto" w:fill="auto"/>
          </w:tcPr>
          <w:p w:rsidR="00181A04" w:rsidRPr="00EC101D" w:rsidRDefault="00181A04" w:rsidP="00EC101D">
            <w:pPr>
              <w:ind w:left="228" w:hangingChars="95" w:hanging="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‧評量方式：</w:t>
            </w:r>
          </w:p>
          <w:p w:rsidR="00181A04" w:rsidRPr="00686846" w:rsidRDefault="00181A04" w:rsidP="00510EAF">
            <w:pPr>
              <w:ind w:leftChars="91" w:left="446" w:hangingChars="95" w:hanging="228"/>
              <w:rPr>
                <w:rFonts w:ascii="標楷體" w:eastAsia="標楷體" w:hAnsi="標楷體"/>
                <w:color w:val="000000"/>
                <w:kern w:val="0"/>
              </w:rPr>
            </w:pPr>
            <w:r w:rsidRPr="00686846">
              <w:rPr>
                <w:rFonts w:ascii="標楷體" w:eastAsia="標楷體" w:hAnsi="標楷體" w:hint="eastAsia"/>
                <w:color w:val="000000"/>
                <w:kern w:val="0"/>
              </w:rPr>
              <w:t>發表評量</w:t>
            </w:r>
          </w:p>
          <w:p w:rsidR="00181A04" w:rsidRPr="00686846" w:rsidRDefault="00181A04" w:rsidP="00510EAF">
            <w:pPr>
              <w:ind w:leftChars="91" w:left="218"/>
              <w:rPr>
                <w:rFonts w:ascii="標楷體" w:eastAsia="標楷體" w:hAnsi="標楷體"/>
                <w:color w:val="000000"/>
              </w:rPr>
            </w:pPr>
            <w:r w:rsidRPr="00686846">
              <w:rPr>
                <w:rFonts w:ascii="標楷體" w:eastAsia="標楷體" w:hAnsi="標楷體"/>
                <w:color w:val="000000"/>
              </w:rPr>
              <w:t>參與討論</w:t>
            </w:r>
          </w:p>
          <w:p w:rsidR="00181A04" w:rsidRPr="00686846" w:rsidRDefault="00181A04" w:rsidP="00510EAF">
            <w:pPr>
              <w:ind w:leftChars="91" w:left="225" w:hangingChars="3" w:hanging="7"/>
              <w:rPr>
                <w:rFonts w:ascii="標楷體" w:eastAsia="標楷體" w:hAnsi="標楷體"/>
                <w:color w:val="000000"/>
              </w:rPr>
            </w:pPr>
            <w:r w:rsidRPr="00686846">
              <w:rPr>
                <w:rFonts w:ascii="標楷體" w:eastAsia="標楷體" w:hAnsi="標楷體"/>
                <w:color w:val="000000"/>
              </w:rPr>
              <w:t>課堂問答</w:t>
            </w:r>
          </w:p>
          <w:p w:rsidR="00181A04" w:rsidRDefault="00181A04" w:rsidP="00510EAF">
            <w:pPr>
              <w:ind w:left="228" w:hangingChars="95" w:hanging="228"/>
              <w:rPr>
                <w:rFonts w:ascii="標楷體" w:eastAsia="標楷體" w:hAnsi="標楷體"/>
              </w:rPr>
            </w:pPr>
          </w:p>
          <w:p w:rsidR="00273621" w:rsidRDefault="00273621" w:rsidP="00510EAF">
            <w:pPr>
              <w:ind w:left="228" w:hangingChars="95" w:hanging="228"/>
              <w:rPr>
                <w:rFonts w:ascii="標楷體" w:eastAsia="標楷體" w:hAnsi="標楷體"/>
              </w:rPr>
            </w:pPr>
          </w:p>
          <w:p w:rsidR="00181A04" w:rsidRDefault="00181A04" w:rsidP="00510EAF">
            <w:pPr>
              <w:ind w:left="228" w:hangingChars="95" w:hanging="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‧學習輔助教材：</w:t>
            </w:r>
          </w:p>
          <w:p w:rsidR="00181A04" w:rsidRPr="00336138" w:rsidRDefault="00452709" w:rsidP="00475CB6">
            <w:pPr>
              <w:ind w:leftChars="91" w:left="218"/>
              <w:rPr>
                <w:rFonts w:ascii="標楷體" w:eastAsia="標楷體" w:hAnsi="標楷體"/>
              </w:rPr>
            </w:pPr>
            <w:r w:rsidRPr="007406F7">
              <w:rPr>
                <w:rFonts w:ascii="標楷體" w:eastAsia="標楷體" w:hAnsi="標楷體" w:hint="eastAsia"/>
                <w:szCs w:val="24"/>
              </w:rPr>
              <w:t>附件</w:t>
            </w:r>
            <w:r w:rsidR="00EC101D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、教用版電子教科書</w:t>
            </w:r>
          </w:p>
        </w:tc>
      </w:tr>
    </w:tbl>
    <w:p w:rsidR="0011420C" w:rsidRPr="00181A04" w:rsidRDefault="0011420C" w:rsidP="00181A04">
      <w:pPr>
        <w:ind w:leftChars="-472" w:left="-1133" w:firstLine="1"/>
      </w:pPr>
    </w:p>
    <w:sectPr w:rsidR="0011420C" w:rsidRPr="00181A04" w:rsidSect="00D84D84">
      <w:pgSz w:w="11906" w:h="16838"/>
      <w:pgMar w:top="709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B5" w:rsidRDefault="00C879B5" w:rsidP="004D6A97">
      <w:r>
        <w:separator/>
      </w:r>
    </w:p>
  </w:endnote>
  <w:endnote w:type="continuationSeparator" w:id="0">
    <w:p w:rsidR="00C879B5" w:rsidRDefault="00C879B5" w:rsidP="004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B5" w:rsidRDefault="00C879B5" w:rsidP="004D6A97">
      <w:r>
        <w:separator/>
      </w:r>
    </w:p>
  </w:footnote>
  <w:footnote w:type="continuationSeparator" w:id="0">
    <w:p w:rsidR="00C879B5" w:rsidRDefault="00C879B5" w:rsidP="004D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04"/>
    <w:rsid w:val="000315BF"/>
    <w:rsid w:val="00041A77"/>
    <w:rsid w:val="00094ABE"/>
    <w:rsid w:val="0011420C"/>
    <w:rsid w:val="00181A04"/>
    <w:rsid w:val="00196E00"/>
    <w:rsid w:val="001D5F8B"/>
    <w:rsid w:val="00247CCD"/>
    <w:rsid w:val="00273621"/>
    <w:rsid w:val="002A39CC"/>
    <w:rsid w:val="002E7C13"/>
    <w:rsid w:val="00413DB8"/>
    <w:rsid w:val="0041766F"/>
    <w:rsid w:val="00445232"/>
    <w:rsid w:val="00452709"/>
    <w:rsid w:val="00470775"/>
    <w:rsid w:val="00475CB6"/>
    <w:rsid w:val="004D6A97"/>
    <w:rsid w:val="005B16AA"/>
    <w:rsid w:val="00624D88"/>
    <w:rsid w:val="00651BBC"/>
    <w:rsid w:val="00665ED3"/>
    <w:rsid w:val="00677335"/>
    <w:rsid w:val="007229FD"/>
    <w:rsid w:val="007406F7"/>
    <w:rsid w:val="007D47B7"/>
    <w:rsid w:val="008958DC"/>
    <w:rsid w:val="00900E22"/>
    <w:rsid w:val="00914CE5"/>
    <w:rsid w:val="00A32DE5"/>
    <w:rsid w:val="00A9205C"/>
    <w:rsid w:val="00AB3548"/>
    <w:rsid w:val="00B82930"/>
    <w:rsid w:val="00C36C51"/>
    <w:rsid w:val="00C471B1"/>
    <w:rsid w:val="00C879B5"/>
    <w:rsid w:val="00CC4096"/>
    <w:rsid w:val="00CD034C"/>
    <w:rsid w:val="00D5615B"/>
    <w:rsid w:val="00D84D84"/>
    <w:rsid w:val="00D91B23"/>
    <w:rsid w:val="00E57CC8"/>
    <w:rsid w:val="00EC101D"/>
    <w:rsid w:val="00F86343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D4BFE"/>
  <w15:chartTrackingRefBased/>
  <w15:docId w15:val="{E86C880F-7A64-44EF-97D9-A4376E06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0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181A04"/>
    <w:pPr>
      <w:widowControl/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81A04"/>
    <w:rPr>
      <w:rFonts w:ascii="Comic Sans MS" w:eastAsia="新細明體" w:hAnsi="Comic Sans MS" w:cs="Times New Roman"/>
      <w:b/>
      <w:kern w:val="28"/>
      <w:sz w:val="36"/>
      <w:szCs w:val="20"/>
      <w:lang w:eastAsia="en-US" w:bidi="he-IL"/>
    </w:rPr>
  </w:style>
  <w:style w:type="paragraph" w:styleId="a3">
    <w:name w:val="List Paragraph"/>
    <w:basedOn w:val="a"/>
    <w:link w:val="a4"/>
    <w:uiPriority w:val="34"/>
    <w:qFormat/>
    <w:rsid w:val="00181A04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181A0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Default">
    <w:name w:val="Default"/>
    <w:rsid w:val="00181A0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D6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6A9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6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6A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瑾芳</dc:creator>
  <cp:keywords/>
  <dc:description/>
  <cp:lastModifiedBy>JDPS</cp:lastModifiedBy>
  <cp:revision>2</cp:revision>
  <dcterms:created xsi:type="dcterms:W3CDTF">2025-12-22T06:06:00Z</dcterms:created>
  <dcterms:modified xsi:type="dcterms:W3CDTF">2025-12-22T06:06:00Z</dcterms:modified>
</cp:coreProperties>
</file>